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BA3" w:rsidRDefault="00CD733F" w:rsidP="00CD733F">
      <w:pPr>
        <w:pStyle w:val="Heading1"/>
        <w:rPr>
          <w:b w:val="0"/>
        </w:rPr>
      </w:pPr>
      <w:r>
        <w:t xml:space="preserve">Executive Summary and Recommendations: </w:t>
      </w:r>
      <w:r w:rsidRPr="00CD733F">
        <w:rPr>
          <w:b w:val="0"/>
        </w:rPr>
        <w:t xml:space="preserve"> Melvyl Configuration and Electronic Resources Project Team</w:t>
      </w:r>
    </w:p>
    <w:p w:rsidR="00CD733F" w:rsidRPr="00487F3C" w:rsidRDefault="00032F19" w:rsidP="00CD733F">
      <w:r w:rsidRPr="00487F3C">
        <w:t>August 2</w:t>
      </w:r>
      <w:r w:rsidR="00070841">
        <w:t>8</w:t>
      </w:r>
      <w:r w:rsidRPr="00487F3C">
        <w:t>, 2015</w:t>
      </w:r>
      <w:r w:rsidR="00CD733F" w:rsidRPr="00487F3C">
        <w:t xml:space="preserve"> Prepared by Lena Zentall </w:t>
      </w:r>
      <w:r w:rsidRPr="00487F3C">
        <w:t>(CDL, task force chair) and</w:t>
      </w:r>
      <w:r w:rsidR="00CD733F" w:rsidRPr="00487F3C">
        <w:t xml:space="preserve"> the project team</w:t>
      </w:r>
      <w:r w:rsidRPr="00487F3C">
        <w:t>: Holly Eggleston (CDL), Lynne Grigsby (SAG2 liaison, UCB), Cynthia Johnson (UCI), Adriana Moran (nominated by CLS, UCSD), Patrick Shannon (UCB). The team recruit</w:t>
      </w:r>
      <w:r w:rsidR="00487F3C" w:rsidRPr="00487F3C">
        <w:t xml:space="preserve">ed Margery Tibbetts (CDL) as a </w:t>
      </w:r>
      <w:r w:rsidRPr="00487F3C">
        <w:t>consultant.</w:t>
      </w:r>
    </w:p>
    <w:p w:rsidR="00DC3ADA" w:rsidRDefault="00DC3ADA" w:rsidP="00CD733F"/>
    <w:p w:rsidR="00D13C6D" w:rsidRPr="00845E96" w:rsidRDefault="007041BE" w:rsidP="00D13C6D">
      <w:pPr>
        <w:rPr>
          <w:strike/>
        </w:rPr>
      </w:pPr>
      <w:r>
        <w:t>The</w:t>
      </w:r>
      <w:r w:rsidR="00D13C6D">
        <w:t xml:space="preserve"> changes we are proposing to Melvyl will transform it from a union catalog </w:t>
      </w:r>
      <w:r>
        <w:t>of</w:t>
      </w:r>
      <w:r w:rsidR="00D13C6D">
        <w:t xml:space="preserve"> resources</w:t>
      </w:r>
      <w:r w:rsidR="00C0132E">
        <w:t xml:space="preserve"> to which</w:t>
      </w:r>
      <w:r w:rsidR="00D13C6D">
        <w:t xml:space="preserve"> all campuses have </w:t>
      </w:r>
      <w:r>
        <w:t>UC-wide</w:t>
      </w:r>
      <w:r w:rsidR="00C0132E">
        <w:t xml:space="preserve"> access,</w:t>
      </w:r>
      <w:r>
        <w:t xml:space="preserve"> to </w:t>
      </w:r>
      <w:r w:rsidR="001E2824">
        <w:t xml:space="preserve">a </w:t>
      </w:r>
      <w:r w:rsidR="00D13C6D">
        <w:t xml:space="preserve">discovery platform </w:t>
      </w:r>
      <w:r w:rsidR="001E2824">
        <w:t>that is unique to each campus. E</w:t>
      </w:r>
      <w:r w:rsidR="00D13C6D">
        <w:t xml:space="preserve">ach campus will </w:t>
      </w:r>
      <w:r>
        <w:t>experience</w:t>
      </w:r>
      <w:r w:rsidR="00D13C6D">
        <w:t xml:space="preserve"> different search results depending on </w:t>
      </w:r>
      <w:r w:rsidR="002A5481">
        <w:t>the</w:t>
      </w:r>
      <w:r w:rsidR="00D13C6D">
        <w:t xml:space="preserve"> </w:t>
      </w:r>
      <w:r w:rsidR="002A5481">
        <w:t xml:space="preserve">resources </w:t>
      </w:r>
      <w:r w:rsidR="00D13C6D">
        <w:t xml:space="preserve">they license.  </w:t>
      </w:r>
      <w:r w:rsidR="00C0132E">
        <w:t xml:space="preserve">We have heard from library staff that </w:t>
      </w:r>
      <w:r w:rsidR="00C0132E" w:rsidRPr="00C0132E">
        <w:t xml:space="preserve">for the most part, they are ready to embrace </w:t>
      </w:r>
      <w:r w:rsidR="00F45708">
        <w:t xml:space="preserve">the addition of </w:t>
      </w:r>
      <w:r w:rsidR="00C0132E" w:rsidRPr="00C0132E">
        <w:t>Tier 2 and Tier 3 resources in the Central Index.</w:t>
      </w:r>
      <w:r w:rsidR="002A5481">
        <w:t xml:space="preserve"> </w:t>
      </w:r>
    </w:p>
    <w:p w:rsidR="00D13C6D" w:rsidRDefault="00D13C6D" w:rsidP="00CD733F"/>
    <w:p w:rsidR="0020101C" w:rsidRDefault="0020101C" w:rsidP="00CD733F">
      <w:r>
        <w:t xml:space="preserve">The team reviewed the six "areas to consider" from the charge </w:t>
      </w:r>
      <w:r w:rsidR="00D13C6D">
        <w:t xml:space="preserve">(see Appendix A) </w:t>
      </w:r>
      <w:r>
        <w:t xml:space="preserve">and briefly summarized our findings in each area. </w:t>
      </w:r>
      <w:r w:rsidR="002A5481">
        <w:t>Supporting evidence and further</w:t>
      </w:r>
      <w:r>
        <w:t xml:space="preserve"> details are available in the appendix documents.</w:t>
      </w:r>
    </w:p>
    <w:p w:rsidR="006732D7" w:rsidRPr="001D25B1" w:rsidRDefault="006732D7" w:rsidP="006732D7">
      <w:pPr>
        <w:pStyle w:val="Heading3"/>
      </w:pPr>
      <w:r>
        <w:t>General Recommendations</w:t>
      </w:r>
    </w:p>
    <w:p w:rsidR="00694264" w:rsidRDefault="00694264" w:rsidP="00694264">
      <w:r>
        <w:t>The team identified two viable models.</w:t>
      </w:r>
      <w:r w:rsidR="004A63D0">
        <w:t xml:space="preserve"> </w:t>
      </w:r>
      <w:r w:rsidR="00A20547">
        <w:t xml:space="preserve">These options can be combined. </w:t>
      </w:r>
      <w:r w:rsidR="001B495E">
        <w:t xml:space="preserve">At minimum, we recommend model A. Model B can be added to Model A. </w:t>
      </w:r>
    </w:p>
    <w:p w:rsidR="00276175" w:rsidRDefault="00276175" w:rsidP="00694264"/>
    <w:p w:rsidR="00694264" w:rsidRDefault="00694264" w:rsidP="00276175">
      <w:pPr>
        <w:pStyle w:val="ListParagraph"/>
        <w:numPr>
          <w:ilvl w:val="0"/>
          <w:numId w:val="11"/>
        </w:numPr>
        <w:ind w:left="1260" w:hanging="1260"/>
      </w:pPr>
      <w:r w:rsidRPr="005858F1">
        <w:rPr>
          <w:b/>
        </w:rPr>
        <w:t>Continue centralized model with the addition of CDL-managed Tier 2's</w:t>
      </w:r>
      <w:r w:rsidR="000B43CE">
        <w:rPr>
          <w:b/>
        </w:rPr>
        <w:t>.</w:t>
      </w:r>
      <w:r w:rsidR="004F6B01">
        <w:t xml:space="preserve"> CDL would manage Tier 1 and</w:t>
      </w:r>
      <w:r>
        <w:t xml:space="preserve"> 2 </w:t>
      </w:r>
      <w:r w:rsidR="0020101C">
        <w:t xml:space="preserve">databases </w:t>
      </w:r>
      <w:r w:rsidR="00547701">
        <w:t>for each Melvyl instance for CDL-managed licenses. Campus-managed Tier 2 and 3 databases would not be added.</w:t>
      </w:r>
    </w:p>
    <w:p w:rsidR="005858F1" w:rsidRPr="005858F1" w:rsidRDefault="00694264" w:rsidP="005858F1">
      <w:pPr>
        <w:pStyle w:val="ListParagraph"/>
        <w:numPr>
          <w:ilvl w:val="0"/>
          <w:numId w:val="11"/>
        </w:numPr>
        <w:ind w:left="1260" w:hanging="1260"/>
        <w:rPr>
          <w:b/>
        </w:rPr>
      </w:pPr>
      <w:r>
        <w:rPr>
          <w:b/>
        </w:rPr>
        <w:t>Switch to a d</w:t>
      </w:r>
      <w:r w:rsidRPr="00C93728">
        <w:rPr>
          <w:b/>
        </w:rPr>
        <w:t>istributed model</w:t>
      </w:r>
      <w:r w:rsidR="000B43CE">
        <w:t xml:space="preserve">. </w:t>
      </w:r>
      <w:r w:rsidR="004F6B01">
        <w:t>CDL would manage Tier 1 and</w:t>
      </w:r>
      <w:r>
        <w:t xml:space="preserve"> 2 </w:t>
      </w:r>
      <w:r w:rsidR="0020101C">
        <w:t xml:space="preserve">databases </w:t>
      </w:r>
      <w:r w:rsidR="00547701">
        <w:t>for each Melvyl instance for CDL managed licenses. And, c</w:t>
      </w:r>
      <w:r w:rsidR="0020101C">
        <w:t xml:space="preserve">ampuses </w:t>
      </w:r>
      <w:r w:rsidR="00B9521E">
        <w:t xml:space="preserve">would </w:t>
      </w:r>
      <w:r w:rsidR="004F6B01">
        <w:t xml:space="preserve">manage Tier 2 and </w:t>
      </w:r>
      <w:r w:rsidR="0020101C">
        <w:t xml:space="preserve">3 databases </w:t>
      </w:r>
      <w:r w:rsidR="00547701">
        <w:t>for campus-managed licenses</w:t>
      </w:r>
      <w:r>
        <w:t xml:space="preserve">. </w:t>
      </w:r>
    </w:p>
    <w:p w:rsidR="005858F1" w:rsidRPr="005858F1" w:rsidRDefault="00935D29" w:rsidP="005858F1">
      <w:pPr>
        <w:rPr>
          <w:b/>
        </w:rPr>
      </w:pPr>
      <w:r w:rsidRPr="005858F1">
        <w:rPr>
          <w:b/>
        </w:rPr>
        <w:t xml:space="preserve">We recommend </w:t>
      </w:r>
      <w:r w:rsidR="000B43CE">
        <w:rPr>
          <w:b/>
        </w:rPr>
        <w:t>Model A.</w:t>
      </w:r>
    </w:p>
    <w:p w:rsidR="000B43CE" w:rsidRDefault="005858F1" w:rsidP="006E07CB">
      <w:r>
        <w:t xml:space="preserve">We recommend </w:t>
      </w:r>
      <w:r w:rsidR="00935D29">
        <w:t xml:space="preserve">CDL take on the additional work of </w:t>
      </w:r>
      <w:r w:rsidR="006F38EC">
        <w:t xml:space="preserve">adding </w:t>
      </w:r>
      <w:r w:rsidR="00935D29">
        <w:t xml:space="preserve">CDL-managed </w:t>
      </w:r>
      <w:r w:rsidR="001309B1">
        <w:t xml:space="preserve">Tier 2 </w:t>
      </w:r>
      <w:r w:rsidR="00E71974">
        <w:t>databases</w:t>
      </w:r>
      <w:r w:rsidR="00935D29">
        <w:t xml:space="preserve"> </w:t>
      </w:r>
      <w:r w:rsidR="00E71974">
        <w:t>to campus Melvyl instances</w:t>
      </w:r>
      <w:r w:rsidR="00935D29">
        <w:t xml:space="preserve">. </w:t>
      </w:r>
      <w:r w:rsidR="00DC4AFB">
        <w:t xml:space="preserve">This is </w:t>
      </w:r>
      <w:r w:rsidR="00DC4AFB" w:rsidRPr="00374142">
        <w:t xml:space="preserve">already part of CDL's workflow so would represent </w:t>
      </w:r>
      <w:r w:rsidR="00792B1A">
        <w:t xml:space="preserve">only </w:t>
      </w:r>
      <w:r w:rsidR="00DC4AFB" w:rsidRPr="00374142">
        <w:t xml:space="preserve">a </w:t>
      </w:r>
      <w:r w:rsidR="00792B1A">
        <w:t>small</w:t>
      </w:r>
      <w:r w:rsidR="00DC4AFB" w:rsidRPr="00374142">
        <w:t xml:space="preserve"> increase in workload. </w:t>
      </w:r>
      <w:r w:rsidR="00C0132E">
        <w:t>Adding Tier 2's</w:t>
      </w:r>
      <w:r w:rsidR="00DC4AFB">
        <w:t xml:space="preserve"> would </w:t>
      </w:r>
      <w:r w:rsidR="000D2C61">
        <w:t>increase Central Index databases available to</w:t>
      </w:r>
      <w:r w:rsidR="00DC4AFB">
        <w:t xml:space="preserve"> campuses </w:t>
      </w:r>
      <w:r w:rsidR="000D2C61">
        <w:t>by</w:t>
      </w:r>
      <w:r w:rsidR="00DC4AFB" w:rsidRPr="00374142">
        <w:t xml:space="preserve"> </w:t>
      </w:r>
      <w:r w:rsidR="001B495E">
        <w:t>24</w:t>
      </w:r>
      <w:r w:rsidR="000B43CE">
        <w:t>% (</w:t>
      </w:r>
      <w:r w:rsidR="001B495E">
        <w:t xml:space="preserve">using April 2015 data; </w:t>
      </w:r>
      <w:r w:rsidR="000B43CE">
        <w:t xml:space="preserve">varies </w:t>
      </w:r>
      <w:r w:rsidR="000D2C61">
        <w:t xml:space="preserve">depending on </w:t>
      </w:r>
      <w:r w:rsidR="00C0132E">
        <w:t>what</w:t>
      </w:r>
      <w:r w:rsidR="000D2C61">
        <w:t xml:space="preserve"> each campus licenses</w:t>
      </w:r>
      <w:r w:rsidR="00DC4AFB" w:rsidRPr="00374142">
        <w:t>.</w:t>
      </w:r>
      <w:r w:rsidR="000B43CE">
        <w:t>)</w:t>
      </w:r>
      <w:r w:rsidR="000D2C61">
        <w:t xml:space="preserve"> </w:t>
      </w:r>
    </w:p>
    <w:p w:rsidR="000B43CE" w:rsidRDefault="000B43CE" w:rsidP="006E07CB"/>
    <w:p w:rsidR="00914D94" w:rsidRPr="005858F1" w:rsidRDefault="000D2C61" w:rsidP="006E07CB">
      <w:r>
        <w:t xml:space="preserve">Currently, </w:t>
      </w:r>
      <w:r w:rsidR="00C0132E">
        <w:t xml:space="preserve">CDL has activated </w:t>
      </w:r>
      <w:r>
        <w:t xml:space="preserve">89 (Tier 1) databases in Central Index out of 116 that could be activated if </w:t>
      </w:r>
      <w:r w:rsidR="00C0132E">
        <w:t>CDL</w:t>
      </w:r>
      <w:r>
        <w:t xml:space="preserve"> added Tier 2's. </w:t>
      </w:r>
      <w:r w:rsidR="00276175" w:rsidRPr="00276175">
        <w:t>A growing trend is</w:t>
      </w:r>
      <w:r w:rsidR="00276175">
        <w:rPr>
          <w:color w:val="FF0000"/>
        </w:rPr>
        <w:t xml:space="preserve"> </w:t>
      </w:r>
      <w:r w:rsidR="001309B1">
        <w:t>the</w:t>
      </w:r>
      <w:r w:rsidR="000B43CE">
        <w:t xml:space="preserve"> blurring of the</w:t>
      </w:r>
      <w:r w:rsidR="001309B1">
        <w:t xml:space="preserve"> line between tier 1 and 2: fewer campuses are p</w:t>
      </w:r>
      <w:r w:rsidR="00E71974">
        <w:t>articipating in tier 1 licenses</w:t>
      </w:r>
      <w:r w:rsidR="00956748">
        <w:t xml:space="preserve"> with all 10 campuses</w:t>
      </w:r>
      <w:r w:rsidR="00E71974">
        <w:t>, and</w:t>
      </w:r>
      <w:r w:rsidR="001309B1">
        <w:t xml:space="preserve"> more</w:t>
      </w:r>
      <w:r w:rsidR="00E71974">
        <w:t xml:space="preserve"> are participating</w:t>
      </w:r>
      <w:r w:rsidR="00DC4AFB">
        <w:t xml:space="preserve"> in tier 2 licenses</w:t>
      </w:r>
      <w:r w:rsidR="00956748">
        <w:t xml:space="preserve"> with 4 or more campuses</w:t>
      </w:r>
      <w:r w:rsidR="00DC4AFB">
        <w:t>.</w:t>
      </w:r>
      <w:r w:rsidR="00694264">
        <w:t xml:space="preserve"> </w:t>
      </w:r>
      <w:r w:rsidR="005858F1">
        <w:t xml:space="preserve">This means </w:t>
      </w:r>
      <w:r w:rsidR="005858F1" w:rsidRPr="005858F1">
        <w:t xml:space="preserve">more databases will </w:t>
      </w:r>
      <w:r w:rsidR="000B43CE">
        <w:t xml:space="preserve">continue to </w:t>
      </w:r>
      <w:r w:rsidR="005858F1" w:rsidRPr="005858F1">
        <w:t>be available for campuses</w:t>
      </w:r>
      <w:r w:rsidR="006474D5">
        <w:t xml:space="preserve"> in Central Index</w:t>
      </w:r>
      <w:r w:rsidR="005858F1" w:rsidRPr="005858F1">
        <w:t xml:space="preserve"> if we expand our activation model to include CDL-managed Tier 2's.</w:t>
      </w:r>
      <w:r w:rsidR="00914D94" w:rsidRPr="005858F1">
        <w:t xml:space="preserve"> </w:t>
      </w:r>
    </w:p>
    <w:p w:rsidR="00914D94" w:rsidRDefault="00914D94" w:rsidP="006E07CB">
      <w:pPr>
        <w:rPr>
          <w:color w:val="FF0000"/>
        </w:rPr>
      </w:pPr>
    </w:p>
    <w:p w:rsidR="001309B1" w:rsidRPr="00914D94" w:rsidRDefault="00914D94" w:rsidP="006E07CB">
      <w:r w:rsidRPr="00914D94">
        <w:t xml:space="preserve">Timing: </w:t>
      </w:r>
      <w:r w:rsidR="000B43CE">
        <w:t>The team proposes activating</w:t>
      </w:r>
      <w:r w:rsidR="006474D5">
        <w:t xml:space="preserve"> the CDL-managed Tier 2's </w:t>
      </w:r>
      <w:r w:rsidR="0020101C">
        <w:t>a</w:t>
      </w:r>
      <w:r w:rsidR="0020101C" w:rsidRPr="00914D94">
        <w:t xml:space="preserve">fter the Melvyl Operations Team completes the migration of WorldCat Local and FirstSearch to the new WorldCat Discovery platform (no sooner than December 2015). </w:t>
      </w:r>
      <w:r w:rsidR="0020101C">
        <w:t xml:space="preserve"> Why</w:t>
      </w:r>
      <w:r w:rsidR="006474D5">
        <w:t xml:space="preserve"> wait</w:t>
      </w:r>
      <w:r w:rsidR="0020101C">
        <w:t>? It</w:t>
      </w:r>
      <w:r>
        <w:t xml:space="preserve"> would </w:t>
      </w:r>
      <w:r w:rsidR="0020101C">
        <w:t xml:space="preserve">complicate acceptance </w:t>
      </w:r>
      <w:r>
        <w:t xml:space="preserve">testing if the databases </w:t>
      </w:r>
      <w:r w:rsidR="000B43CE">
        <w:t>we</w:t>
      </w:r>
      <w:r w:rsidR="006474D5">
        <w:t>re</w:t>
      </w:r>
      <w:r>
        <w:t xml:space="preserve"> in flux. </w:t>
      </w:r>
      <w:r w:rsidR="006474D5">
        <w:t xml:space="preserve">Some of </w:t>
      </w:r>
      <w:r w:rsidR="000B43CE">
        <w:t>the</w:t>
      </w:r>
      <w:r w:rsidR="006474D5">
        <w:t xml:space="preserve"> testing relies on comparing search results over time. And currently</w:t>
      </w:r>
      <w:r>
        <w:t xml:space="preserve"> the Melvyl Operations Team does not have the bandwidth to take on </w:t>
      </w:r>
      <w:r w:rsidR="006474D5">
        <w:t>this work</w:t>
      </w:r>
      <w:r>
        <w:t xml:space="preserve">. </w:t>
      </w:r>
    </w:p>
    <w:p w:rsidR="001309B1" w:rsidRDefault="001309B1" w:rsidP="00CD733F"/>
    <w:p w:rsidR="006815B9" w:rsidRPr="005858F1" w:rsidRDefault="006815B9" w:rsidP="006815B9">
      <w:pPr>
        <w:rPr>
          <w:b/>
        </w:rPr>
      </w:pPr>
      <w:r w:rsidRPr="005858F1">
        <w:rPr>
          <w:b/>
        </w:rPr>
        <w:t>Model B</w:t>
      </w:r>
      <w:r>
        <w:rPr>
          <w:b/>
        </w:rPr>
        <w:t xml:space="preserve"> is possible if four or more campuses are willing to participate. It would be done in addition to Model A, rather than replace it.</w:t>
      </w:r>
    </w:p>
    <w:p w:rsidR="001309B1" w:rsidRDefault="001309B1" w:rsidP="00CD733F">
      <w:r>
        <w:t xml:space="preserve">For Tier 3's, it's </w:t>
      </w:r>
      <w:r w:rsidR="00E71974">
        <w:t>negotiable</w:t>
      </w:r>
      <w:r>
        <w:t xml:space="preserve"> whether it would be worth the effort to</w:t>
      </w:r>
      <w:r w:rsidR="00E71974">
        <w:t xml:space="preserve"> add these databases in Melvyl, since very few of them (about 6%) are available</w:t>
      </w:r>
      <w:r w:rsidR="0020101C">
        <w:t xml:space="preserve"> at this time</w:t>
      </w:r>
      <w:r w:rsidR="00E71974">
        <w:t xml:space="preserve"> in Central Index. </w:t>
      </w:r>
      <w:r w:rsidR="00D64A3D">
        <w:t xml:space="preserve">OCLC adds content continually, so the amount of available content will increase over time. </w:t>
      </w:r>
      <w:r w:rsidR="009F797E">
        <w:t>OCLC</w:t>
      </w:r>
      <w:r w:rsidR="00D64A3D">
        <w:t xml:space="preserve"> formally announce</w:t>
      </w:r>
      <w:r w:rsidR="009F797E">
        <w:t>s</w:t>
      </w:r>
      <w:r w:rsidR="00D64A3D">
        <w:t xml:space="preserve"> Central Index changes monthly along with </w:t>
      </w:r>
      <w:r w:rsidR="009F797E">
        <w:t xml:space="preserve">the </w:t>
      </w:r>
      <w:r w:rsidR="00D64A3D">
        <w:t xml:space="preserve">WorldCat Discovery releases notes. </w:t>
      </w:r>
      <w:r w:rsidR="00E71974">
        <w:t xml:space="preserve">There would be substantial effort </w:t>
      </w:r>
      <w:r w:rsidR="00DC4AFB">
        <w:t xml:space="preserve">for both CDL and campuses </w:t>
      </w:r>
      <w:r w:rsidR="00C74596">
        <w:t xml:space="preserve">to set up </w:t>
      </w:r>
      <w:r w:rsidR="00E71974">
        <w:t>administrators</w:t>
      </w:r>
      <w:r w:rsidR="00C74596">
        <w:t xml:space="preserve"> to manage campus instances</w:t>
      </w:r>
      <w:r w:rsidR="00E71974">
        <w:t xml:space="preserve">, establish </w:t>
      </w:r>
      <w:r w:rsidR="00C74596">
        <w:t xml:space="preserve">procedures and </w:t>
      </w:r>
      <w:r w:rsidR="00E71974">
        <w:t>best pract</w:t>
      </w:r>
      <w:r w:rsidR="002D3F6C">
        <w:t>ices</w:t>
      </w:r>
      <w:r w:rsidR="00E71974">
        <w:t>, redo existing policies and documentation</w:t>
      </w:r>
      <w:r w:rsidR="00C74596">
        <w:t>, and plan for outreach</w:t>
      </w:r>
      <w:r w:rsidR="00E71974">
        <w:t>.</w:t>
      </w:r>
      <w:r w:rsidR="00694264">
        <w:t xml:space="preserve"> </w:t>
      </w:r>
    </w:p>
    <w:p w:rsidR="00D64A3D" w:rsidRDefault="00D64A3D" w:rsidP="00CD733F"/>
    <w:p w:rsidR="00D64A3D" w:rsidRDefault="00D64A3D" w:rsidP="00D64A3D">
      <w:r>
        <w:t xml:space="preserve">One option is for campuses to wait until OCLC has reached a certain threshold for the </w:t>
      </w:r>
      <w:r w:rsidR="007E2C68">
        <w:t>percentage</w:t>
      </w:r>
      <w:r>
        <w:t xml:space="preserve"> of Tier 3 databases available in Central Index, e.g., 10%, 20%, 25%, etc.  </w:t>
      </w:r>
      <w:r w:rsidR="00C74596">
        <w:t>The challenge would be to</w:t>
      </w:r>
      <w:r w:rsidR="002A5481">
        <w:t xml:space="preserve"> find a balance to ensure the level of effort to monitor wouldn't outweigh the effort of doing the </w:t>
      </w:r>
      <w:r w:rsidR="00C74596">
        <w:t xml:space="preserve">set up </w:t>
      </w:r>
      <w:r w:rsidR="002A5481">
        <w:t>work.</w:t>
      </w:r>
      <w:r w:rsidR="00975F83">
        <w:t xml:space="preserve"> We would also need to determine who is responsible for monitoring.</w:t>
      </w:r>
      <w:r w:rsidR="002A5481">
        <w:t xml:space="preserve"> </w:t>
      </w:r>
      <w:r w:rsidR="00975F83">
        <w:t xml:space="preserve">It's possible the threshold would never get higher than 10% for some campuses. </w:t>
      </w:r>
      <w:r w:rsidR="007E2C68">
        <w:t>The</w:t>
      </w:r>
      <w:r>
        <w:t xml:space="preserve"> bulk of the effort is in setting up and documenting the new process and workflows, not in the ongoing work of identifying and adding the databases in Central Index. </w:t>
      </w:r>
      <w:r w:rsidR="009F797E">
        <w:t xml:space="preserve"> See Area 3 </w:t>
      </w:r>
      <w:r w:rsidR="006474D5">
        <w:t xml:space="preserve">below </w:t>
      </w:r>
      <w:r w:rsidR="009F797E">
        <w:t>for further discussion of support and maintenance issues.</w:t>
      </w:r>
      <w:r w:rsidR="002A5481">
        <w:t xml:space="preserve"> </w:t>
      </w:r>
    </w:p>
    <w:p w:rsidR="005858F1" w:rsidRDefault="005858F1" w:rsidP="005858F1"/>
    <w:p w:rsidR="005858F1" w:rsidRDefault="005858F1" w:rsidP="005858F1">
      <w:r>
        <w:t>If model B is deemed worthwhile, we recommend SAG2 (or equivalent) determine if four or more campuses are willing to participate, and if so, to then coordinate with the CDL Melvyl Operations Team on how to operationalize the work.</w:t>
      </w:r>
    </w:p>
    <w:p w:rsidR="00D64A3D" w:rsidRDefault="00D64A3D" w:rsidP="00CD733F"/>
    <w:p w:rsidR="005858F1" w:rsidRDefault="005858F1" w:rsidP="005858F1">
      <w:pPr>
        <w:pStyle w:val="Heading2"/>
      </w:pPr>
      <w:r>
        <w:t>Summary of Findings</w:t>
      </w:r>
    </w:p>
    <w:p w:rsidR="00045205" w:rsidRDefault="0091106E" w:rsidP="0091106E">
      <w:pPr>
        <w:pStyle w:val="Heading3"/>
      </w:pPr>
      <w:r>
        <w:t>Area 1</w:t>
      </w:r>
      <w:r w:rsidR="00374142">
        <w:t>: Tier 2, 3 resources at UC</w:t>
      </w:r>
    </w:p>
    <w:p w:rsidR="005A70AC" w:rsidRDefault="005A70AC" w:rsidP="005A70AC">
      <w:r>
        <w:t xml:space="preserve">The team created a comprehensive summary of the databases available in Central Index indicating the CDL-managed Tier 2's and the campus Tier 3's. </w:t>
      </w:r>
      <w:r w:rsidR="00BE0C63">
        <w:t>See Appendix D</w:t>
      </w:r>
      <w:r>
        <w:t>.</w:t>
      </w:r>
    </w:p>
    <w:p w:rsidR="005A70AC" w:rsidRDefault="005A70AC" w:rsidP="005A70AC"/>
    <w:p w:rsidR="009F797E" w:rsidRDefault="00C624D6" w:rsidP="00556A28">
      <w:r>
        <w:t xml:space="preserve">We determined the </w:t>
      </w:r>
      <w:r w:rsidR="00C74596">
        <w:t>number of T</w:t>
      </w:r>
      <w:r>
        <w:t>ie</w:t>
      </w:r>
      <w:r w:rsidR="009F797E">
        <w:t>r 3</w:t>
      </w:r>
      <w:r>
        <w:t xml:space="preserve"> resources at campuses using the 2012 C</w:t>
      </w:r>
      <w:r w:rsidR="009F797E">
        <w:t>ollection Licensing Subcommittee (C</w:t>
      </w:r>
      <w:r>
        <w:t>LS</w:t>
      </w:r>
      <w:r w:rsidR="009F797E">
        <w:t>)</w:t>
      </w:r>
      <w:r>
        <w:t xml:space="preserve"> survey.</w:t>
      </w:r>
      <w:r w:rsidR="009F797E">
        <w:t xml:space="preserve"> </w:t>
      </w:r>
      <w:r w:rsidR="006E07CB">
        <w:t>While there's clearly a benefit in adding CDL-managed Tier 2 resources</w:t>
      </w:r>
      <w:r w:rsidR="00956748">
        <w:t xml:space="preserve"> in Melvyl</w:t>
      </w:r>
      <w:r w:rsidR="006E07CB">
        <w:t>, t</w:t>
      </w:r>
      <w:r w:rsidR="005D6EB0">
        <w:t xml:space="preserve">here is a large gap between what the individual campuses license </w:t>
      </w:r>
      <w:r w:rsidR="009F797E">
        <w:t xml:space="preserve">(i.e., Tier 3's) </w:t>
      </w:r>
      <w:r w:rsidR="005D6EB0">
        <w:t xml:space="preserve">and what is currently available in the OCLC Central Index. </w:t>
      </w:r>
      <w:r w:rsidR="00935D29">
        <w:t xml:space="preserve">Of a total of 1050 </w:t>
      </w:r>
      <w:r w:rsidR="006E07CB">
        <w:t xml:space="preserve">campus </w:t>
      </w:r>
      <w:r w:rsidR="00935D29">
        <w:t xml:space="preserve">databases, </w:t>
      </w:r>
      <w:r w:rsidR="001309B1">
        <w:t xml:space="preserve">only </w:t>
      </w:r>
      <w:r w:rsidR="00935D29">
        <w:t>72</w:t>
      </w:r>
      <w:r w:rsidR="001309B1">
        <w:t xml:space="preserve"> </w:t>
      </w:r>
      <w:r w:rsidR="006E07CB">
        <w:t xml:space="preserve">are </w:t>
      </w:r>
      <w:r w:rsidR="001309B1">
        <w:t>available in Central Index -- an</w:t>
      </w:r>
      <w:r w:rsidR="00935D29">
        <w:t xml:space="preserve"> average of</w:t>
      </w:r>
      <w:r w:rsidR="00374142">
        <w:t xml:space="preserve"> 6%</w:t>
      </w:r>
      <w:r w:rsidR="005D6EB0">
        <w:t xml:space="preserve">. </w:t>
      </w:r>
      <w:r w:rsidR="001309B1">
        <w:t xml:space="preserve">With such </w:t>
      </w:r>
      <w:r w:rsidR="00C74596">
        <w:t xml:space="preserve">a </w:t>
      </w:r>
      <w:r w:rsidR="001309B1">
        <w:t xml:space="preserve">small </w:t>
      </w:r>
      <w:r w:rsidR="006E07CB">
        <w:t>percentages</w:t>
      </w:r>
      <w:r w:rsidR="009F797E">
        <w:t xml:space="preserve"> of databases available in Central Index at this time</w:t>
      </w:r>
      <w:r w:rsidR="001309B1">
        <w:t xml:space="preserve">, it does not warrant the substantial effort of doing a gap analysis to determine what's </w:t>
      </w:r>
      <w:r w:rsidR="009F797E">
        <w:t>changed since 2012.</w:t>
      </w:r>
    </w:p>
    <w:p w:rsidR="00BE0C63" w:rsidRDefault="00BE0C63" w:rsidP="00556A28"/>
    <w:p w:rsidR="00BE0C63" w:rsidRDefault="00BE0C63" w:rsidP="00BE0C63">
      <w:r>
        <w:t>Table: Campus-licensed databases (Tier 3) from 2012 Collections Licensing Subcommittee (CLS) survey that are available in OCLC Central Index.</w:t>
      </w:r>
    </w:p>
    <w:p w:rsidR="00BE0C63" w:rsidRPr="00CD77D6" w:rsidRDefault="00BE0C63" w:rsidP="00BE0C63">
      <w:pPr>
        <w:rPr>
          <w:sz w:val="16"/>
          <w:szCs w:val="16"/>
        </w:rPr>
      </w:pPr>
    </w:p>
    <w:tbl>
      <w:tblPr>
        <w:tblStyle w:val="TableGrid"/>
        <w:tblW w:w="0" w:type="auto"/>
        <w:tblLook w:val="04A0" w:firstRow="1" w:lastRow="0" w:firstColumn="1" w:lastColumn="0" w:noHBand="0" w:noVBand="1"/>
      </w:tblPr>
      <w:tblGrid>
        <w:gridCol w:w="2501"/>
        <w:gridCol w:w="1758"/>
        <w:gridCol w:w="2400"/>
        <w:gridCol w:w="2197"/>
      </w:tblGrid>
      <w:tr w:rsidR="00BE0C63" w:rsidRPr="00B777C6" w:rsidTr="00BE0C63">
        <w:tc>
          <w:tcPr>
            <w:tcW w:w="2501" w:type="dxa"/>
          </w:tcPr>
          <w:p w:rsidR="00BE0C63" w:rsidRPr="00B777C6" w:rsidRDefault="00BE0C63" w:rsidP="00BE0C63">
            <w:pPr>
              <w:rPr>
                <w:b/>
              </w:rPr>
            </w:pPr>
            <w:r w:rsidRPr="00B777C6">
              <w:rPr>
                <w:b/>
              </w:rPr>
              <w:t>Campus</w:t>
            </w:r>
          </w:p>
        </w:tc>
        <w:tc>
          <w:tcPr>
            <w:tcW w:w="1758" w:type="dxa"/>
          </w:tcPr>
          <w:p w:rsidR="00BE0C63" w:rsidRPr="00B777C6" w:rsidRDefault="00BE0C63" w:rsidP="00BE0C63">
            <w:pPr>
              <w:rPr>
                <w:b/>
              </w:rPr>
            </w:pPr>
            <w:r w:rsidRPr="00B777C6">
              <w:rPr>
                <w:b/>
              </w:rPr>
              <w:t>Databases in 2012 survey</w:t>
            </w:r>
          </w:p>
        </w:tc>
        <w:tc>
          <w:tcPr>
            <w:tcW w:w="2400" w:type="dxa"/>
          </w:tcPr>
          <w:p w:rsidR="00BE0C63" w:rsidRPr="00B777C6" w:rsidRDefault="00BE0C63" w:rsidP="00BE0C63">
            <w:pPr>
              <w:rPr>
                <w:b/>
              </w:rPr>
            </w:pPr>
            <w:r>
              <w:rPr>
                <w:b/>
              </w:rPr>
              <w:t>A</w:t>
            </w:r>
            <w:r w:rsidRPr="00B777C6">
              <w:rPr>
                <w:b/>
              </w:rPr>
              <w:t>vailable in Central Index</w:t>
            </w:r>
          </w:p>
        </w:tc>
        <w:tc>
          <w:tcPr>
            <w:tcW w:w="2197" w:type="dxa"/>
          </w:tcPr>
          <w:p w:rsidR="00BE0C63" w:rsidRPr="00B777C6" w:rsidRDefault="00BE0C63" w:rsidP="00BE0C63">
            <w:pPr>
              <w:rPr>
                <w:b/>
              </w:rPr>
            </w:pPr>
            <w:r w:rsidRPr="00B777C6">
              <w:rPr>
                <w:b/>
              </w:rPr>
              <w:t xml:space="preserve">% </w:t>
            </w:r>
            <w:r w:rsidR="0026475C">
              <w:rPr>
                <w:b/>
              </w:rPr>
              <w:t>A</w:t>
            </w:r>
            <w:r>
              <w:rPr>
                <w:b/>
              </w:rPr>
              <w:t>vailable</w:t>
            </w:r>
          </w:p>
        </w:tc>
      </w:tr>
      <w:tr w:rsidR="00BE0C63" w:rsidTr="00BE0C63">
        <w:tc>
          <w:tcPr>
            <w:tcW w:w="2501" w:type="dxa"/>
          </w:tcPr>
          <w:p w:rsidR="00BE0C63" w:rsidRDefault="00BE0C63" w:rsidP="00BE0C63">
            <w:r>
              <w:t>UCB</w:t>
            </w:r>
          </w:p>
        </w:tc>
        <w:tc>
          <w:tcPr>
            <w:tcW w:w="1758" w:type="dxa"/>
          </w:tcPr>
          <w:p w:rsidR="00BE0C63" w:rsidRDefault="00BE0C63" w:rsidP="00BE0C63">
            <w:r>
              <w:t>216</w:t>
            </w:r>
          </w:p>
        </w:tc>
        <w:tc>
          <w:tcPr>
            <w:tcW w:w="2400" w:type="dxa"/>
          </w:tcPr>
          <w:p w:rsidR="00BE0C63" w:rsidRDefault="00BE0C63" w:rsidP="00BE0C63">
            <w:r>
              <w:t>13</w:t>
            </w:r>
          </w:p>
        </w:tc>
        <w:tc>
          <w:tcPr>
            <w:tcW w:w="2197" w:type="dxa"/>
          </w:tcPr>
          <w:p w:rsidR="00BE0C63" w:rsidRDefault="00BE0C63" w:rsidP="00BE0C63">
            <w:r>
              <w:t>6%</w:t>
            </w:r>
          </w:p>
        </w:tc>
      </w:tr>
      <w:tr w:rsidR="00BE0C63" w:rsidTr="00BE0C63">
        <w:tc>
          <w:tcPr>
            <w:tcW w:w="2501" w:type="dxa"/>
          </w:tcPr>
          <w:p w:rsidR="00BE0C63" w:rsidRDefault="00BE0C63" w:rsidP="00BE0C63">
            <w:r>
              <w:t>UCD</w:t>
            </w:r>
          </w:p>
        </w:tc>
        <w:tc>
          <w:tcPr>
            <w:tcW w:w="1758" w:type="dxa"/>
          </w:tcPr>
          <w:p w:rsidR="00BE0C63" w:rsidRDefault="00BE0C63" w:rsidP="00BE0C63">
            <w:r>
              <w:t>44</w:t>
            </w:r>
          </w:p>
        </w:tc>
        <w:tc>
          <w:tcPr>
            <w:tcW w:w="2400" w:type="dxa"/>
          </w:tcPr>
          <w:p w:rsidR="00BE0C63" w:rsidRDefault="00BE0C63" w:rsidP="00BE0C63">
            <w:r>
              <w:t>3</w:t>
            </w:r>
          </w:p>
        </w:tc>
        <w:tc>
          <w:tcPr>
            <w:tcW w:w="2197" w:type="dxa"/>
          </w:tcPr>
          <w:p w:rsidR="00BE0C63" w:rsidRDefault="00BE0C63" w:rsidP="00BE0C63">
            <w:r>
              <w:t>6%</w:t>
            </w:r>
          </w:p>
        </w:tc>
      </w:tr>
      <w:tr w:rsidR="00BE0C63" w:rsidTr="00BE0C63">
        <w:tc>
          <w:tcPr>
            <w:tcW w:w="2501" w:type="dxa"/>
          </w:tcPr>
          <w:p w:rsidR="00BE0C63" w:rsidRDefault="00BE0C63" w:rsidP="00BE0C63">
            <w:r>
              <w:t>UCI</w:t>
            </w:r>
          </w:p>
        </w:tc>
        <w:tc>
          <w:tcPr>
            <w:tcW w:w="1758" w:type="dxa"/>
          </w:tcPr>
          <w:p w:rsidR="00BE0C63" w:rsidRDefault="00BE0C63" w:rsidP="00BE0C63">
            <w:r>
              <w:t>282</w:t>
            </w:r>
          </w:p>
        </w:tc>
        <w:tc>
          <w:tcPr>
            <w:tcW w:w="2400" w:type="dxa"/>
          </w:tcPr>
          <w:p w:rsidR="00BE0C63" w:rsidRDefault="00BE0C63" w:rsidP="00BE0C63">
            <w:r>
              <w:t>19</w:t>
            </w:r>
          </w:p>
        </w:tc>
        <w:tc>
          <w:tcPr>
            <w:tcW w:w="2197" w:type="dxa"/>
          </w:tcPr>
          <w:p w:rsidR="00BE0C63" w:rsidRDefault="00BE0C63" w:rsidP="00BE0C63">
            <w:r>
              <w:t>6%</w:t>
            </w:r>
          </w:p>
        </w:tc>
      </w:tr>
      <w:tr w:rsidR="00BE0C63" w:rsidTr="00BE0C63">
        <w:tc>
          <w:tcPr>
            <w:tcW w:w="2501" w:type="dxa"/>
          </w:tcPr>
          <w:p w:rsidR="00BE0C63" w:rsidRDefault="00BE0C63" w:rsidP="00BE0C63">
            <w:r>
              <w:t>UCLA</w:t>
            </w:r>
          </w:p>
        </w:tc>
        <w:tc>
          <w:tcPr>
            <w:tcW w:w="1758" w:type="dxa"/>
          </w:tcPr>
          <w:p w:rsidR="00BE0C63" w:rsidRDefault="00BE0C63" w:rsidP="00BE0C63">
            <w:r>
              <w:t>171</w:t>
            </w:r>
          </w:p>
        </w:tc>
        <w:tc>
          <w:tcPr>
            <w:tcW w:w="2400" w:type="dxa"/>
          </w:tcPr>
          <w:p w:rsidR="00BE0C63" w:rsidRDefault="00BE0C63" w:rsidP="00BE0C63">
            <w:r>
              <w:t>18</w:t>
            </w:r>
          </w:p>
        </w:tc>
        <w:tc>
          <w:tcPr>
            <w:tcW w:w="2197" w:type="dxa"/>
          </w:tcPr>
          <w:p w:rsidR="00BE0C63" w:rsidRDefault="00BE0C63" w:rsidP="00BE0C63">
            <w:r>
              <w:t>10%</w:t>
            </w:r>
          </w:p>
        </w:tc>
      </w:tr>
      <w:tr w:rsidR="00BE0C63" w:rsidTr="00BE0C63">
        <w:tc>
          <w:tcPr>
            <w:tcW w:w="2501" w:type="dxa"/>
          </w:tcPr>
          <w:p w:rsidR="00BE0C63" w:rsidRDefault="00BE0C63" w:rsidP="00BE0C63">
            <w:r>
              <w:t>UCM</w:t>
            </w:r>
          </w:p>
        </w:tc>
        <w:tc>
          <w:tcPr>
            <w:tcW w:w="1758" w:type="dxa"/>
          </w:tcPr>
          <w:p w:rsidR="00BE0C63" w:rsidRDefault="00BE0C63" w:rsidP="00BE0C63">
            <w:r>
              <w:t>17</w:t>
            </w:r>
          </w:p>
        </w:tc>
        <w:tc>
          <w:tcPr>
            <w:tcW w:w="2400" w:type="dxa"/>
          </w:tcPr>
          <w:p w:rsidR="00BE0C63" w:rsidRDefault="00BE0C63" w:rsidP="00BE0C63">
            <w:r>
              <w:t>0</w:t>
            </w:r>
          </w:p>
        </w:tc>
        <w:tc>
          <w:tcPr>
            <w:tcW w:w="2197" w:type="dxa"/>
          </w:tcPr>
          <w:p w:rsidR="00BE0C63" w:rsidRDefault="00BE0C63" w:rsidP="00BE0C63">
            <w:r>
              <w:t>0%</w:t>
            </w:r>
          </w:p>
        </w:tc>
      </w:tr>
      <w:tr w:rsidR="00BE0C63" w:rsidTr="00BE0C63">
        <w:tc>
          <w:tcPr>
            <w:tcW w:w="2501" w:type="dxa"/>
          </w:tcPr>
          <w:p w:rsidR="00BE0C63" w:rsidRDefault="00BE0C63" w:rsidP="00BE0C63">
            <w:r>
              <w:t>UCR</w:t>
            </w:r>
          </w:p>
        </w:tc>
        <w:tc>
          <w:tcPr>
            <w:tcW w:w="1758" w:type="dxa"/>
          </w:tcPr>
          <w:p w:rsidR="00BE0C63" w:rsidRDefault="00BE0C63" w:rsidP="00BE0C63">
            <w:r>
              <w:t>39</w:t>
            </w:r>
          </w:p>
        </w:tc>
        <w:tc>
          <w:tcPr>
            <w:tcW w:w="2400" w:type="dxa"/>
          </w:tcPr>
          <w:p w:rsidR="00BE0C63" w:rsidRDefault="00BE0C63" w:rsidP="00BE0C63">
            <w:r>
              <w:t>2</w:t>
            </w:r>
          </w:p>
        </w:tc>
        <w:tc>
          <w:tcPr>
            <w:tcW w:w="2197" w:type="dxa"/>
          </w:tcPr>
          <w:p w:rsidR="00BE0C63" w:rsidRDefault="00BE0C63" w:rsidP="00BE0C63">
            <w:r>
              <w:t>5%</w:t>
            </w:r>
          </w:p>
        </w:tc>
      </w:tr>
      <w:tr w:rsidR="00BE0C63" w:rsidTr="00BE0C63">
        <w:tc>
          <w:tcPr>
            <w:tcW w:w="2501" w:type="dxa"/>
          </w:tcPr>
          <w:p w:rsidR="00BE0C63" w:rsidRDefault="00BE0C63" w:rsidP="00BE0C63">
            <w:r>
              <w:t>UCSB</w:t>
            </w:r>
          </w:p>
        </w:tc>
        <w:tc>
          <w:tcPr>
            <w:tcW w:w="1758" w:type="dxa"/>
          </w:tcPr>
          <w:p w:rsidR="00BE0C63" w:rsidRDefault="00BE0C63" w:rsidP="00BE0C63">
            <w:r>
              <w:t>35</w:t>
            </w:r>
          </w:p>
        </w:tc>
        <w:tc>
          <w:tcPr>
            <w:tcW w:w="2400" w:type="dxa"/>
          </w:tcPr>
          <w:p w:rsidR="00BE0C63" w:rsidRDefault="00BE0C63" w:rsidP="00BE0C63">
            <w:r>
              <w:t>2</w:t>
            </w:r>
          </w:p>
        </w:tc>
        <w:tc>
          <w:tcPr>
            <w:tcW w:w="2197" w:type="dxa"/>
          </w:tcPr>
          <w:p w:rsidR="00BE0C63" w:rsidRDefault="00BE0C63" w:rsidP="00BE0C63">
            <w:r>
              <w:t>5%</w:t>
            </w:r>
          </w:p>
        </w:tc>
      </w:tr>
      <w:tr w:rsidR="00BE0C63" w:rsidTr="00BE0C63">
        <w:tc>
          <w:tcPr>
            <w:tcW w:w="2501" w:type="dxa"/>
          </w:tcPr>
          <w:p w:rsidR="00BE0C63" w:rsidRDefault="00BE0C63" w:rsidP="00BE0C63">
            <w:r>
              <w:t>UCSC</w:t>
            </w:r>
          </w:p>
        </w:tc>
        <w:tc>
          <w:tcPr>
            <w:tcW w:w="1758" w:type="dxa"/>
          </w:tcPr>
          <w:p w:rsidR="00BE0C63" w:rsidRDefault="00BE0C63" w:rsidP="00BE0C63">
            <w:r>
              <w:t>48</w:t>
            </w:r>
          </w:p>
        </w:tc>
        <w:tc>
          <w:tcPr>
            <w:tcW w:w="2400" w:type="dxa"/>
          </w:tcPr>
          <w:p w:rsidR="00BE0C63" w:rsidRDefault="00BE0C63" w:rsidP="00BE0C63">
            <w:r>
              <w:t>4</w:t>
            </w:r>
          </w:p>
        </w:tc>
        <w:tc>
          <w:tcPr>
            <w:tcW w:w="2197" w:type="dxa"/>
          </w:tcPr>
          <w:p w:rsidR="00BE0C63" w:rsidRDefault="00BE0C63" w:rsidP="00BE0C63">
            <w:r>
              <w:t>8%</w:t>
            </w:r>
          </w:p>
        </w:tc>
      </w:tr>
      <w:tr w:rsidR="00BE0C63" w:rsidTr="00BE0C63">
        <w:tc>
          <w:tcPr>
            <w:tcW w:w="2501" w:type="dxa"/>
          </w:tcPr>
          <w:p w:rsidR="00BE0C63" w:rsidRDefault="00BE0C63" w:rsidP="00BE0C63">
            <w:r>
              <w:t>UCSD</w:t>
            </w:r>
          </w:p>
        </w:tc>
        <w:tc>
          <w:tcPr>
            <w:tcW w:w="1758" w:type="dxa"/>
          </w:tcPr>
          <w:p w:rsidR="00BE0C63" w:rsidRDefault="00BE0C63" w:rsidP="00BE0C63">
            <w:r>
              <w:t>184</w:t>
            </w:r>
          </w:p>
        </w:tc>
        <w:tc>
          <w:tcPr>
            <w:tcW w:w="2400" w:type="dxa"/>
          </w:tcPr>
          <w:p w:rsidR="00BE0C63" w:rsidRDefault="00BE0C63" w:rsidP="00BE0C63">
            <w:r>
              <w:t>10</w:t>
            </w:r>
          </w:p>
        </w:tc>
        <w:tc>
          <w:tcPr>
            <w:tcW w:w="2197" w:type="dxa"/>
          </w:tcPr>
          <w:p w:rsidR="00BE0C63" w:rsidRDefault="00BE0C63" w:rsidP="00BE0C63">
            <w:r>
              <w:t>5%</w:t>
            </w:r>
          </w:p>
        </w:tc>
      </w:tr>
      <w:tr w:rsidR="00BE0C63" w:rsidTr="00BE0C63">
        <w:tc>
          <w:tcPr>
            <w:tcW w:w="2501" w:type="dxa"/>
          </w:tcPr>
          <w:p w:rsidR="00BE0C63" w:rsidRDefault="00BE0C63" w:rsidP="00BE0C63">
            <w:r>
              <w:t>UCSF</w:t>
            </w:r>
          </w:p>
        </w:tc>
        <w:tc>
          <w:tcPr>
            <w:tcW w:w="1758" w:type="dxa"/>
          </w:tcPr>
          <w:p w:rsidR="00BE0C63" w:rsidRDefault="00BE0C63" w:rsidP="00BE0C63">
            <w:r>
              <w:t>14</w:t>
            </w:r>
          </w:p>
        </w:tc>
        <w:tc>
          <w:tcPr>
            <w:tcW w:w="2400" w:type="dxa"/>
          </w:tcPr>
          <w:p w:rsidR="00BE0C63" w:rsidRDefault="00BE0C63" w:rsidP="00BE0C63">
            <w:r>
              <w:t>1</w:t>
            </w:r>
          </w:p>
        </w:tc>
        <w:tc>
          <w:tcPr>
            <w:tcW w:w="2197" w:type="dxa"/>
          </w:tcPr>
          <w:p w:rsidR="00BE0C63" w:rsidRDefault="00BE0C63" w:rsidP="00BE0C63">
            <w:r>
              <w:t>7%</w:t>
            </w:r>
          </w:p>
        </w:tc>
      </w:tr>
      <w:tr w:rsidR="00BE0C63" w:rsidRPr="00B777C6" w:rsidTr="00BE0C63">
        <w:tc>
          <w:tcPr>
            <w:tcW w:w="2501" w:type="dxa"/>
          </w:tcPr>
          <w:p w:rsidR="00BE0C63" w:rsidRPr="00B777C6" w:rsidRDefault="00BE0C63" w:rsidP="00BE0C63">
            <w:pPr>
              <w:rPr>
                <w:b/>
              </w:rPr>
            </w:pPr>
            <w:r w:rsidRPr="00B777C6">
              <w:rPr>
                <w:b/>
              </w:rPr>
              <w:t>Total</w:t>
            </w:r>
          </w:p>
        </w:tc>
        <w:tc>
          <w:tcPr>
            <w:tcW w:w="1758" w:type="dxa"/>
          </w:tcPr>
          <w:p w:rsidR="00BE0C63" w:rsidRPr="00B777C6" w:rsidRDefault="00BE0C63" w:rsidP="00BE0C63">
            <w:pPr>
              <w:rPr>
                <w:b/>
              </w:rPr>
            </w:pPr>
            <w:r w:rsidRPr="00B777C6">
              <w:rPr>
                <w:b/>
              </w:rPr>
              <w:t>1050</w:t>
            </w:r>
          </w:p>
        </w:tc>
        <w:tc>
          <w:tcPr>
            <w:tcW w:w="2400" w:type="dxa"/>
          </w:tcPr>
          <w:p w:rsidR="00BE0C63" w:rsidRPr="00B777C6" w:rsidRDefault="00BE0C63" w:rsidP="00BE0C63">
            <w:pPr>
              <w:rPr>
                <w:b/>
              </w:rPr>
            </w:pPr>
            <w:r w:rsidRPr="00B777C6">
              <w:rPr>
                <w:b/>
              </w:rPr>
              <w:t>72</w:t>
            </w:r>
          </w:p>
        </w:tc>
        <w:tc>
          <w:tcPr>
            <w:tcW w:w="2197" w:type="dxa"/>
          </w:tcPr>
          <w:p w:rsidR="00BE0C63" w:rsidRPr="00B777C6" w:rsidRDefault="00BE0C63" w:rsidP="00BE0C63">
            <w:pPr>
              <w:rPr>
                <w:b/>
              </w:rPr>
            </w:pPr>
            <w:r w:rsidRPr="00B777C6">
              <w:rPr>
                <w:b/>
              </w:rPr>
              <w:t>6%</w:t>
            </w:r>
          </w:p>
        </w:tc>
      </w:tr>
    </w:tbl>
    <w:p w:rsidR="00BE0C63" w:rsidRDefault="00BE0C63" w:rsidP="00556A28"/>
    <w:p w:rsidR="00556A28" w:rsidRDefault="00556A28" w:rsidP="00556A28">
      <w:pPr>
        <w:pStyle w:val="Heading3"/>
      </w:pPr>
      <w:r>
        <w:t xml:space="preserve">Area 2: </w:t>
      </w:r>
      <w:r w:rsidR="00CA0670">
        <w:t>Technical limitations</w:t>
      </w:r>
    </w:p>
    <w:p w:rsidR="00573081" w:rsidRDefault="00573081" w:rsidP="007E2C68">
      <w:r>
        <w:t xml:space="preserve">The team did not find any significant technical limitations that would prevent model B from proceeding. We directly responded to the questions </w:t>
      </w:r>
      <w:r w:rsidR="005A70AC">
        <w:t>raised</w:t>
      </w:r>
      <w:r>
        <w:t xml:space="preserve"> in the charge</w:t>
      </w:r>
      <w:r w:rsidR="00D0417E">
        <w:t xml:space="preserve"> (1 &amp; 2 below) and identified one </w:t>
      </w:r>
      <w:r w:rsidR="005A70AC">
        <w:t>other</w:t>
      </w:r>
      <w:r w:rsidR="00D0417E">
        <w:t xml:space="preserve"> issue.</w:t>
      </w:r>
    </w:p>
    <w:p w:rsidR="00573081" w:rsidRDefault="00573081" w:rsidP="007E2C68"/>
    <w:p w:rsidR="007E2C68" w:rsidRDefault="007E2C68" w:rsidP="007E2C68">
      <w:r>
        <w:t xml:space="preserve">Some technical limitations and risks: </w:t>
      </w:r>
    </w:p>
    <w:p w:rsidR="00A1225E" w:rsidRDefault="00A1225E" w:rsidP="00D0417E">
      <w:pPr>
        <w:pStyle w:val="ListParagraph"/>
        <w:numPr>
          <w:ilvl w:val="0"/>
          <w:numId w:val="18"/>
        </w:numPr>
      </w:pPr>
      <w:r>
        <w:t>There's no limitation on the number of resources that can be activated. An institution must license a resource before it can be activated.</w:t>
      </w:r>
    </w:p>
    <w:p w:rsidR="00CA0670" w:rsidRDefault="00CA0670" w:rsidP="00D0417E">
      <w:pPr>
        <w:pStyle w:val="ListParagraph"/>
        <w:numPr>
          <w:ilvl w:val="0"/>
          <w:numId w:val="18"/>
        </w:numPr>
      </w:pPr>
      <w:r>
        <w:t xml:space="preserve">Remote access and timeouts are related: </w:t>
      </w:r>
      <w:r w:rsidR="00D01C03">
        <w:t xml:space="preserve">A remote access resource requires accessing the indexing metadata from the resource’s server, rather than being loaded internally at OCLC. </w:t>
      </w:r>
      <w:r>
        <w:t xml:space="preserve">If you activate Central Index databases that are remote access, they have a slower response time, and this can cause timeouts. </w:t>
      </w:r>
      <w:r w:rsidR="00A1225E">
        <w:t xml:space="preserve"> CDL is currently not activating any remote access databases. Periodically, CDL does testing to see if response time has improved. So far, it has not.</w:t>
      </w:r>
    </w:p>
    <w:p w:rsidR="00CA0670" w:rsidRDefault="00CA0670" w:rsidP="00D0417E">
      <w:pPr>
        <w:pStyle w:val="ListParagraph"/>
        <w:numPr>
          <w:ilvl w:val="0"/>
          <w:numId w:val="18"/>
        </w:numPr>
      </w:pPr>
      <w:r w:rsidRPr="00276175">
        <w:t>Some databases</w:t>
      </w:r>
      <w:r w:rsidR="00A1225E" w:rsidRPr="00276175">
        <w:t xml:space="preserve"> negatively affect search results</w:t>
      </w:r>
      <w:r w:rsidR="00A1225E">
        <w:t xml:space="preserve"> and</w:t>
      </w:r>
      <w:r>
        <w:t xml:space="preserve"> </w:t>
      </w:r>
      <w:r w:rsidR="00D0417E">
        <w:t>would</w:t>
      </w:r>
      <w:r>
        <w:t xml:space="preserve"> be better excluded from the default set</w:t>
      </w:r>
      <w:r w:rsidR="00D0417E">
        <w:t xml:space="preserve"> of databases </w:t>
      </w:r>
      <w:r>
        <w:t>(e.g., Scipio). Users can still search these databases individually using advanced search.</w:t>
      </w:r>
    </w:p>
    <w:p w:rsidR="002D3F6C" w:rsidRDefault="00BB645D" w:rsidP="00D76ADA">
      <w:pPr>
        <w:pStyle w:val="Heading3"/>
      </w:pPr>
      <w:r>
        <w:t>Area 3</w:t>
      </w:r>
      <w:r w:rsidR="00F03A91">
        <w:t>: Support and maintenance</w:t>
      </w:r>
    </w:p>
    <w:p w:rsidR="0014692C" w:rsidRPr="0014692C" w:rsidRDefault="0014692C" w:rsidP="009D6FEC">
      <w:pPr>
        <w:rPr>
          <w:b/>
        </w:rPr>
      </w:pPr>
      <w:r w:rsidRPr="0014692C">
        <w:rPr>
          <w:b/>
        </w:rPr>
        <w:t>End-user support</w:t>
      </w:r>
    </w:p>
    <w:p w:rsidR="00670AD7" w:rsidRDefault="00B9521E" w:rsidP="00670AD7">
      <w:pPr>
        <w:pStyle w:val="ListParagraph"/>
        <w:numPr>
          <w:ilvl w:val="0"/>
          <w:numId w:val="21"/>
        </w:numPr>
      </w:pPr>
      <w:r>
        <w:t>CDL sh</w:t>
      </w:r>
      <w:r w:rsidR="0014692C">
        <w:t xml:space="preserve">ould continue to provide </w:t>
      </w:r>
      <w:r>
        <w:t>frontline</w:t>
      </w:r>
      <w:r w:rsidR="0014692C">
        <w:t xml:space="preserve"> end-user support. </w:t>
      </w:r>
    </w:p>
    <w:p w:rsidR="00670AD7" w:rsidRDefault="0014692C" w:rsidP="00670AD7">
      <w:pPr>
        <w:pStyle w:val="ListParagraph"/>
        <w:numPr>
          <w:ilvl w:val="0"/>
          <w:numId w:val="21"/>
        </w:numPr>
      </w:pPr>
      <w:r>
        <w:t>For model B</w:t>
      </w:r>
      <w:r w:rsidR="00670AD7">
        <w:t>: CDL sh</w:t>
      </w:r>
      <w:r>
        <w:t>ould redirect problem reports</w:t>
      </w:r>
      <w:r w:rsidR="00670AD7">
        <w:t xml:space="preserve"> concerning </w:t>
      </w:r>
      <w:r w:rsidR="006B5C8B">
        <w:t>locally licensed</w:t>
      </w:r>
      <w:r w:rsidR="00670AD7">
        <w:t xml:space="preserve"> resources </w:t>
      </w:r>
      <w:r>
        <w:t xml:space="preserve">to </w:t>
      </w:r>
      <w:r w:rsidR="00670AD7">
        <w:t>campus contacts.</w:t>
      </w:r>
    </w:p>
    <w:p w:rsidR="00496A24" w:rsidRDefault="000F602C" w:rsidP="0014692C">
      <w:pPr>
        <w:pStyle w:val="ListParagraph"/>
        <w:numPr>
          <w:ilvl w:val="0"/>
          <w:numId w:val="12"/>
        </w:numPr>
      </w:pPr>
      <w:r>
        <w:t xml:space="preserve">Public services librarians will be most affected by the addition of Tier </w:t>
      </w:r>
      <w:r w:rsidR="006B5C8B">
        <w:t>2</w:t>
      </w:r>
      <w:r>
        <w:t xml:space="preserve"> and 3's to Melvyl</w:t>
      </w:r>
      <w:r w:rsidR="00496A24">
        <w:t xml:space="preserve">. </w:t>
      </w:r>
      <w:r w:rsidR="00B2179E">
        <w:t>Extensive</w:t>
      </w:r>
      <w:r w:rsidR="00496A24">
        <w:t xml:space="preserve"> outreach </w:t>
      </w:r>
      <w:r>
        <w:t>is needed</w:t>
      </w:r>
      <w:r w:rsidR="002D3F6C">
        <w:t xml:space="preserve"> to explain why the campus instances will have different search results</w:t>
      </w:r>
      <w:r>
        <w:t>.</w:t>
      </w:r>
    </w:p>
    <w:p w:rsidR="009D6FEC" w:rsidRPr="00033722" w:rsidRDefault="00033722" w:rsidP="009D6FEC">
      <w:pPr>
        <w:rPr>
          <w:b/>
        </w:rPr>
      </w:pPr>
      <w:r>
        <w:rPr>
          <w:b/>
        </w:rPr>
        <w:t>Maintenance</w:t>
      </w:r>
      <w:r w:rsidR="009D6FEC">
        <w:rPr>
          <w:b/>
        </w:rPr>
        <w:t xml:space="preserve"> for Model A: </w:t>
      </w:r>
      <w:r w:rsidR="009D6FEC" w:rsidRPr="009D6FEC">
        <w:t>Nothing changes.</w:t>
      </w:r>
      <w:r w:rsidR="00D01C03" w:rsidRPr="00D01C03">
        <w:t xml:space="preserve"> </w:t>
      </w:r>
      <w:r w:rsidR="00D01C03">
        <w:t xml:space="preserve">CDL adds WorldCat Central Index as an additional access point configuration task for CDL-managed Tier 2 resources, making the process consistent with current Tier 1 lifecycle tasks. </w:t>
      </w:r>
    </w:p>
    <w:p w:rsidR="009D6FEC" w:rsidRDefault="009D6FEC" w:rsidP="009D6FEC">
      <w:pPr>
        <w:rPr>
          <w:b/>
        </w:rPr>
      </w:pPr>
    </w:p>
    <w:p w:rsidR="00033722" w:rsidRDefault="00033722" w:rsidP="009D6FEC">
      <w:pPr>
        <w:rPr>
          <w:b/>
        </w:rPr>
      </w:pPr>
      <w:r>
        <w:rPr>
          <w:b/>
        </w:rPr>
        <w:t>Maintenance</w:t>
      </w:r>
      <w:r w:rsidR="009D6FEC">
        <w:rPr>
          <w:b/>
        </w:rPr>
        <w:t xml:space="preserve"> for Model B:</w:t>
      </w:r>
      <w:r>
        <w:rPr>
          <w:b/>
        </w:rPr>
        <w:t xml:space="preserve"> </w:t>
      </w:r>
    </w:p>
    <w:p w:rsidR="009D6FEC" w:rsidRPr="00033722" w:rsidRDefault="009D6FEC" w:rsidP="009D6FEC">
      <w:pPr>
        <w:rPr>
          <w:b/>
        </w:rPr>
      </w:pPr>
      <w:r>
        <w:t>For</w:t>
      </w:r>
      <w:r w:rsidRPr="00D10FE0">
        <w:t xml:space="preserve"> </w:t>
      </w:r>
      <w:r>
        <w:t xml:space="preserve">the </w:t>
      </w:r>
      <w:r w:rsidRPr="00D10FE0">
        <w:t>distributed maintenance of Central Index</w:t>
      </w:r>
      <w:r>
        <w:t>,</w:t>
      </w:r>
      <w:r w:rsidRPr="00D10FE0">
        <w:t xml:space="preserve"> </w:t>
      </w:r>
      <w:r w:rsidR="00033722">
        <w:t>we</w:t>
      </w:r>
      <w:r w:rsidRPr="00D10FE0">
        <w:t xml:space="preserve"> need best practices and a clear division of responsibilities</w:t>
      </w:r>
      <w:r>
        <w:t xml:space="preserve"> for campus account managers and the CDL Melvyl Operations Team</w:t>
      </w:r>
      <w:r w:rsidRPr="00D10FE0">
        <w:t>.</w:t>
      </w:r>
      <w:r>
        <w:t xml:space="preserve">  Currently, OCLC cannot </w:t>
      </w:r>
      <w:r w:rsidR="00656685">
        <w:t>limit</w:t>
      </w:r>
      <w:r>
        <w:t xml:space="preserve"> access to only the Central Index database management area of an account. OCLC WorldCat account privileges allow access to </w:t>
      </w:r>
      <w:r w:rsidRPr="008D65D5">
        <w:rPr>
          <w:i/>
        </w:rPr>
        <w:t>all</w:t>
      </w:r>
      <w:r>
        <w:t xml:space="preserve"> areas of service configuration for a Melvyl instance. This could have a significant impact for support if an account holder made changes beyond the scope of managing Central Index databases.  </w:t>
      </w:r>
      <w:r w:rsidR="00914C13">
        <w:t xml:space="preserve">The team </w:t>
      </w:r>
      <w:r w:rsidR="001F712D">
        <w:t>started a list of</w:t>
      </w:r>
      <w:r w:rsidR="00914C13">
        <w:t xml:space="preserve"> recommendations and tasks </w:t>
      </w:r>
      <w:r w:rsidR="001F712D">
        <w:t>for</w:t>
      </w:r>
      <w:r w:rsidR="00914C13">
        <w:t xml:space="preserve"> supporting Model B. See Appendix D.</w:t>
      </w:r>
    </w:p>
    <w:p w:rsidR="009D6FEC" w:rsidRDefault="009D6FEC" w:rsidP="009D6FEC"/>
    <w:p w:rsidR="009D6FEC" w:rsidRDefault="006B5C8B" w:rsidP="009D6FEC">
      <w:r>
        <w:t xml:space="preserve">Timing: At the point when the minimum number of campuses has agreed to participate, CDL will work with campuses to revise existing documentation and draft recommendations and best practices for managing campus Melvyl instances. </w:t>
      </w:r>
    </w:p>
    <w:p w:rsidR="004302A5" w:rsidRDefault="004302A5" w:rsidP="004302A5"/>
    <w:p w:rsidR="00792B1A" w:rsidRDefault="004302A5" w:rsidP="00496B0D">
      <w:pPr>
        <w:rPr>
          <w:lang w:eastAsia="en-US"/>
        </w:rPr>
      </w:pPr>
      <w:r>
        <w:t xml:space="preserve">The </w:t>
      </w:r>
      <w:r w:rsidRPr="003704C5">
        <w:rPr>
          <w:lang w:eastAsia="en-US"/>
        </w:rPr>
        <w:t>Melvyl Central Index Procedures</w:t>
      </w:r>
      <w:r>
        <w:rPr>
          <w:lang w:eastAsia="en-US"/>
        </w:rPr>
        <w:t xml:space="preserve"> document would need substantial revisions: </w:t>
      </w:r>
      <w:r w:rsidRPr="001F1518">
        <w:t>http://www.cdlib.org/services/d2d/melvyl/policies/melvyl_central_index_procedures.pdf</w:t>
      </w:r>
    </w:p>
    <w:p w:rsidR="000E70C6" w:rsidRDefault="000E70C6" w:rsidP="000E70C6">
      <w:pPr>
        <w:pStyle w:val="Heading3"/>
      </w:pPr>
      <w:r>
        <w:t>Area 4</w:t>
      </w:r>
      <w:r w:rsidR="00F03A91">
        <w:t>: Single interface</w:t>
      </w:r>
    </w:p>
    <w:p w:rsidR="000E70C6" w:rsidRDefault="00792B1A" w:rsidP="000E70C6">
      <w:r>
        <w:t>This option is</w:t>
      </w:r>
      <w:r w:rsidR="000E70C6">
        <w:t xml:space="preserve"> not feasible. It violate</w:t>
      </w:r>
      <w:r>
        <w:t>s OCLC's contract with vendors that specifies a</w:t>
      </w:r>
      <w:r w:rsidR="000E70C6">
        <w:t>n institution must license the content to include it in the search.</w:t>
      </w:r>
      <w:r>
        <w:t xml:space="preserve"> </w:t>
      </w:r>
    </w:p>
    <w:p w:rsidR="0091106E" w:rsidRDefault="0091106E" w:rsidP="00045205">
      <w:pPr>
        <w:rPr>
          <w:rFonts w:ascii="Times New Roman" w:hAnsi="Times New Roman" w:cs="Times New Roman"/>
          <w:color w:val="02265F"/>
        </w:rPr>
      </w:pPr>
    </w:p>
    <w:p w:rsidR="000E70C6" w:rsidRDefault="000E70C6" w:rsidP="000F602C">
      <w:pPr>
        <w:pStyle w:val="Heading3"/>
      </w:pPr>
      <w:r>
        <w:t>Area 5</w:t>
      </w:r>
      <w:r w:rsidR="00F03A91">
        <w:t>: legal or contractual issues?</w:t>
      </w:r>
    </w:p>
    <w:p w:rsidR="00F03A91" w:rsidRDefault="005A70AC" w:rsidP="00F03A91">
      <w:r>
        <w:t>Our WorldCat Local/Discovery</w:t>
      </w:r>
      <w:r w:rsidR="00F03A91">
        <w:t xml:space="preserve"> license allows for customized instances</w:t>
      </w:r>
      <w:r w:rsidR="000F602C">
        <w:t>. CDL</w:t>
      </w:r>
      <w:r w:rsidR="00F03A91">
        <w:t xml:space="preserve"> discussed the </w:t>
      </w:r>
      <w:r w:rsidR="000F602C">
        <w:t xml:space="preserve">team's </w:t>
      </w:r>
      <w:r w:rsidR="00F03A91">
        <w:t xml:space="preserve">proposed models with OCLC and confirmed that OCLC supports creating custom instances for each campus and </w:t>
      </w:r>
      <w:r w:rsidR="000F602C">
        <w:t xml:space="preserve">supports </w:t>
      </w:r>
      <w:r w:rsidR="00F03A91">
        <w:t xml:space="preserve">a distributed maintenance model. </w:t>
      </w:r>
    </w:p>
    <w:p w:rsidR="000E70C6" w:rsidRPr="00C21CDD" w:rsidRDefault="000E70C6" w:rsidP="00045205">
      <w:pPr>
        <w:rPr>
          <w:rFonts w:ascii="Times New Roman" w:hAnsi="Times New Roman" w:cs="Times New Roman"/>
          <w:color w:val="02265F"/>
        </w:rPr>
      </w:pPr>
    </w:p>
    <w:p w:rsidR="00986CDC" w:rsidRDefault="00986CDC" w:rsidP="00986CDC">
      <w:pPr>
        <w:pStyle w:val="Heading3"/>
      </w:pPr>
      <w:r w:rsidRPr="00F45708">
        <w:t>Area 6</w:t>
      </w:r>
      <w:r w:rsidR="00792B1A" w:rsidRPr="00F45708">
        <w:t xml:space="preserve">: end user </w:t>
      </w:r>
      <w:r w:rsidR="00F45708">
        <w:t>impact</w:t>
      </w:r>
    </w:p>
    <w:p w:rsidR="00B937FA" w:rsidRDefault="001F75AF" w:rsidP="00B937FA">
      <w:r>
        <w:t xml:space="preserve">To understand how the proposed models would impact the end user experience, the </w:t>
      </w:r>
      <w:r w:rsidR="00B937FA">
        <w:t xml:space="preserve">team developed some </w:t>
      </w:r>
      <w:r>
        <w:t xml:space="preserve">end-user impact scenarios (see Appendix E) and </w:t>
      </w:r>
      <w:r w:rsidR="009556E7">
        <w:t xml:space="preserve">Cynthia Johnson and Patrick Shannon </w:t>
      </w:r>
      <w:r>
        <w:t xml:space="preserve">solicited feedback from library staff including the Digital Reference </w:t>
      </w:r>
      <w:r w:rsidR="001E2824">
        <w:t>Operations Team</w:t>
      </w:r>
      <w:r>
        <w:t xml:space="preserve"> who manage </w:t>
      </w:r>
      <w:r w:rsidR="001E2824">
        <w:t>"Ask a Librarian" chat</w:t>
      </w:r>
      <w:r>
        <w:t xml:space="preserve"> in Melvyl, the Reference CKG, and the ILL CKG. </w:t>
      </w:r>
    </w:p>
    <w:p w:rsidR="001F75AF" w:rsidRDefault="001F75AF" w:rsidP="00B937FA"/>
    <w:p w:rsidR="001F75AF" w:rsidRDefault="001F75AF" w:rsidP="00B937FA">
      <w:r>
        <w:t>Overall, the team recognized these scenarios already exist today</w:t>
      </w:r>
      <w:r w:rsidR="00F45708">
        <w:t xml:space="preserve"> in Melvyl</w:t>
      </w:r>
      <w:r>
        <w:t xml:space="preserve">, and in most cases would not </w:t>
      </w:r>
      <w:r w:rsidR="001E2824">
        <w:t xml:space="preserve">worsen </w:t>
      </w:r>
      <w:r>
        <w:t xml:space="preserve">significantly. </w:t>
      </w:r>
    </w:p>
    <w:p w:rsidR="00B937FA" w:rsidRDefault="00B937FA" w:rsidP="00B937FA"/>
    <w:p w:rsidR="00F9714D" w:rsidRDefault="00F9714D" w:rsidP="00F9714D">
      <w:r>
        <w:t xml:space="preserve">Some databases require users to be authenticated before they see search results. We've indicated which </w:t>
      </w:r>
      <w:r w:rsidR="005A70AC">
        <w:t>databases</w:t>
      </w:r>
      <w:r w:rsidR="002812BF">
        <w:t xml:space="preserve"> require authentication</w:t>
      </w:r>
      <w:r>
        <w:t xml:space="preserve"> in Appendix C. This shouldn't be a </w:t>
      </w:r>
      <w:r w:rsidR="001E2824">
        <w:t>substantial</w:t>
      </w:r>
      <w:r>
        <w:t xml:space="preserve"> </w:t>
      </w:r>
      <w:r w:rsidR="001E2824">
        <w:t>barrier</w:t>
      </w:r>
      <w:r>
        <w:t xml:space="preserve"> since Melvyl prompts users to login </w:t>
      </w:r>
      <w:r w:rsidR="00F45708">
        <w:t>when</w:t>
      </w:r>
      <w:r>
        <w:t xml:space="preserve"> they are outside the UC IP range.</w:t>
      </w:r>
    </w:p>
    <w:p w:rsidR="00F9714D" w:rsidRDefault="00F9714D" w:rsidP="00B937FA"/>
    <w:p w:rsidR="001F75AF" w:rsidRDefault="001F75AF" w:rsidP="00B937FA">
      <w:r>
        <w:t xml:space="preserve">Key </w:t>
      </w:r>
      <w:r w:rsidR="00CB18D1">
        <w:t>concerns</w:t>
      </w:r>
      <w:r>
        <w:t>:</w:t>
      </w:r>
    </w:p>
    <w:p w:rsidR="004E6C5F" w:rsidRDefault="00CB18D1" w:rsidP="00821806">
      <w:pPr>
        <w:pStyle w:val="ListParagraph"/>
        <w:numPr>
          <w:ilvl w:val="0"/>
          <w:numId w:val="12"/>
        </w:numPr>
      </w:pPr>
      <w:r>
        <w:t>The</w:t>
      </w:r>
      <w:r w:rsidRPr="00CB18D1">
        <w:t xml:space="preserve"> amount of material discovered </w:t>
      </w:r>
      <w:r>
        <w:t xml:space="preserve">will be too much </w:t>
      </w:r>
      <w:r w:rsidRPr="00CB18D1">
        <w:t xml:space="preserve">and </w:t>
      </w:r>
      <w:r>
        <w:t>it will be hard to sort.</w:t>
      </w:r>
      <w:r w:rsidRPr="00CB18D1">
        <w:t xml:space="preserve"> </w:t>
      </w:r>
      <w:r w:rsidR="004E6C5F">
        <w:t>T</w:t>
      </w:r>
      <w:r w:rsidR="00E1366A">
        <w:t>here was</w:t>
      </w:r>
      <w:r w:rsidR="004E6C5F" w:rsidRPr="00FA2BBE">
        <w:t xml:space="preserve"> overall consensus that this is probably not a major issue. It has the potential to be frustrating yes, but Melvyl already often retrieves large set results. </w:t>
      </w:r>
      <w:r w:rsidR="00B2179E">
        <w:t>Relevancy will not change with additional databases.</w:t>
      </w:r>
    </w:p>
    <w:p w:rsidR="00821806" w:rsidRDefault="009F3A07" w:rsidP="00821806">
      <w:pPr>
        <w:pStyle w:val="ListParagraph"/>
        <w:numPr>
          <w:ilvl w:val="0"/>
          <w:numId w:val="12"/>
        </w:numPr>
      </w:pPr>
      <w:r>
        <w:t>Managing the u</w:t>
      </w:r>
      <w:r w:rsidR="00CB18D1" w:rsidRPr="00CB18D1">
        <w:t>ser expectatio</w:t>
      </w:r>
      <w:r w:rsidR="00CB18D1">
        <w:t xml:space="preserve">n that EVERYTHING will be in Melvyl. </w:t>
      </w:r>
      <w:r w:rsidR="00821806">
        <w:t xml:space="preserve">We need to do a better job educating our users about limitations of Melvyl, rather than trying to resolve potential issues by limiting the information available in Melvyl. </w:t>
      </w:r>
    </w:p>
    <w:p w:rsidR="00CB18D1" w:rsidRDefault="00821806" w:rsidP="00884598">
      <w:pPr>
        <w:pStyle w:val="ListParagraph"/>
        <w:numPr>
          <w:ilvl w:val="0"/>
          <w:numId w:val="12"/>
        </w:numPr>
      </w:pPr>
      <w:r>
        <w:t xml:space="preserve">If the recommendation to include </w:t>
      </w:r>
      <w:r w:rsidR="00226159">
        <w:t>additional content</w:t>
      </w:r>
      <w:r>
        <w:t xml:space="preserve"> </w:t>
      </w:r>
      <w:r w:rsidR="00226159">
        <w:t xml:space="preserve">is </w:t>
      </w:r>
      <w:r>
        <w:t xml:space="preserve">approved, it would be beneficial to include in the implementation process an extensive outreach plan to help public services staff understand how Melvyl will change from a union discovery layer to a discovery layer that is unique to each campus.  </w:t>
      </w:r>
    </w:p>
    <w:p w:rsidR="001F75AF" w:rsidRDefault="00C727A4" w:rsidP="00B2179E">
      <w:r>
        <w:t xml:space="preserve">See Appendix F for </w:t>
      </w:r>
      <w:r w:rsidR="00423455">
        <w:t>a</w:t>
      </w:r>
      <w:r w:rsidR="00CB18D1">
        <w:t xml:space="preserve"> </w:t>
      </w:r>
      <w:r w:rsidR="00423455">
        <w:t xml:space="preserve">detailed report </w:t>
      </w:r>
      <w:r w:rsidR="00B2179E">
        <w:t>on end user impact from Cynthia Johnson and Patrick Shannon.</w:t>
      </w:r>
    </w:p>
    <w:p w:rsidR="00986CDC" w:rsidRDefault="00986CDC" w:rsidP="00045205"/>
    <w:p w:rsidR="00045205" w:rsidRDefault="00B2179E" w:rsidP="005A70AC">
      <w:pPr>
        <w:pStyle w:val="Heading2"/>
      </w:pPr>
      <w:r>
        <w:t>Appendixes</w:t>
      </w:r>
    </w:p>
    <w:p w:rsidR="005B3AC2" w:rsidRDefault="005B3AC2" w:rsidP="005B3AC2">
      <w:r w:rsidRPr="005921AA">
        <w:t>Appendix A: Charge</w:t>
      </w:r>
      <w:r>
        <w:t xml:space="preserve"> </w:t>
      </w:r>
    </w:p>
    <w:p w:rsidR="005B3AC2" w:rsidRDefault="002812BF" w:rsidP="005B3AC2">
      <w:r>
        <w:t xml:space="preserve">Appendix B: </w:t>
      </w:r>
      <w:r w:rsidR="005B3AC2">
        <w:t>Definitions of Tiers</w:t>
      </w:r>
      <w:r w:rsidR="006D046F">
        <w:t xml:space="preserve"> 1, 2, 3</w:t>
      </w:r>
    </w:p>
    <w:p w:rsidR="005D6EB0" w:rsidRDefault="005D6EB0" w:rsidP="005B3AC2">
      <w:r w:rsidRPr="00160373">
        <w:t xml:space="preserve">Appendix C: </w:t>
      </w:r>
      <w:r w:rsidR="00656685" w:rsidRPr="00160373">
        <w:t>Database Inventory W</w:t>
      </w:r>
      <w:r w:rsidR="00877546" w:rsidRPr="00160373">
        <w:t>orksheet</w:t>
      </w:r>
    </w:p>
    <w:p w:rsidR="00656685" w:rsidRDefault="002812BF" w:rsidP="005B3AC2">
      <w:r>
        <w:t xml:space="preserve">Appendix D: </w:t>
      </w:r>
      <w:r w:rsidR="00BE0C63">
        <w:t>Model B Support</w:t>
      </w:r>
    </w:p>
    <w:p w:rsidR="004F6B01" w:rsidRDefault="004F6B01" w:rsidP="005B3AC2">
      <w:r>
        <w:t xml:space="preserve">Appendix E: </w:t>
      </w:r>
      <w:r w:rsidR="00AA477C">
        <w:t>End User Scenarios</w:t>
      </w:r>
    </w:p>
    <w:p w:rsidR="00AA477C" w:rsidRDefault="00AA477C" w:rsidP="005B3AC2">
      <w:r>
        <w:t>Appendix F: Report on End User Impact</w:t>
      </w:r>
    </w:p>
    <w:p w:rsidR="005B3AC2" w:rsidRDefault="005B3AC2">
      <w:pPr>
        <w:rPr>
          <w:rFonts w:asciiTheme="minorHAnsi" w:hAnsiTheme="minorHAnsi"/>
          <w:sz w:val="20"/>
          <w:szCs w:val="20"/>
        </w:rPr>
      </w:pPr>
    </w:p>
    <w:sectPr w:rsidR="005B3AC2" w:rsidSect="00266D81">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2BC" w:rsidRDefault="004C42BC" w:rsidP="00E62F85">
      <w:r>
        <w:separator/>
      </w:r>
    </w:p>
  </w:endnote>
  <w:endnote w:type="continuationSeparator" w:id="0">
    <w:p w:rsidR="004C42BC" w:rsidRDefault="004C42BC" w:rsidP="00E62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D0" w:rsidRDefault="004A63D0" w:rsidP="00DC3A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63D0" w:rsidRDefault="004A63D0" w:rsidP="00E62F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D0" w:rsidRDefault="004A63D0" w:rsidP="00DC3A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1BBD">
      <w:rPr>
        <w:rStyle w:val="PageNumber"/>
        <w:noProof/>
      </w:rPr>
      <w:t>2</w:t>
    </w:r>
    <w:r>
      <w:rPr>
        <w:rStyle w:val="PageNumber"/>
      </w:rPr>
      <w:fldChar w:fldCharType="end"/>
    </w:r>
  </w:p>
  <w:p w:rsidR="004A63D0" w:rsidRDefault="004A63D0" w:rsidP="00E62F8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2BC" w:rsidRDefault="004C42BC" w:rsidP="00E62F85">
      <w:r>
        <w:separator/>
      </w:r>
    </w:p>
  </w:footnote>
  <w:footnote w:type="continuationSeparator" w:id="0">
    <w:p w:rsidR="004C42BC" w:rsidRDefault="004C42BC" w:rsidP="00E62F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AA9"/>
    <w:multiLevelType w:val="hybridMultilevel"/>
    <w:tmpl w:val="E36E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278F5"/>
    <w:multiLevelType w:val="hybridMultilevel"/>
    <w:tmpl w:val="76EC97C8"/>
    <w:lvl w:ilvl="0" w:tplc="80768C6A">
      <w:start w:val="1"/>
      <w:numFmt w:val="decimal"/>
      <w:pStyle w:val="ListParagraph"/>
      <w:lvlText w:val="%1."/>
      <w:lvlJc w:val="left"/>
      <w:pPr>
        <w:ind w:left="720" w:hanging="360"/>
      </w:pPr>
      <w:rPr>
        <w:rFonts w:hint="default"/>
      </w:rPr>
    </w:lvl>
    <w:lvl w:ilvl="1" w:tplc="7BBAFF76">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479E4"/>
    <w:multiLevelType w:val="hybridMultilevel"/>
    <w:tmpl w:val="0E1A7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F79815A4">
      <w:start w:val="4"/>
      <w:numFmt w:val="bullet"/>
      <w:lvlText w:val="-"/>
      <w:lvlJc w:val="left"/>
      <w:pPr>
        <w:ind w:left="2160" w:hanging="360"/>
      </w:pPr>
      <w:rPr>
        <w:rFonts w:ascii="Calibri" w:eastAsiaTheme="minorEastAsia" w:hAnsi="Calibri" w:cs="Calibri" w:hint="default"/>
        <w:color w:val="3E511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23A31"/>
    <w:multiLevelType w:val="multilevel"/>
    <w:tmpl w:val="A3800E78"/>
    <w:lvl w:ilvl="0">
      <w:start w:val="1"/>
      <w:numFmt w:val="bullet"/>
      <w:lvlText w:val=""/>
      <w:lvlJc w:val="left"/>
      <w:pPr>
        <w:ind w:left="720" w:hanging="360"/>
      </w:pPr>
      <w:rPr>
        <w:rFonts w:ascii="Symbol" w:hAnsi="Symbol" w:hint="default"/>
      </w:rPr>
    </w:lvl>
    <w:lvl w:ilvl="1">
      <w:start w:val="1"/>
      <w:numFmt w:val="upp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B594D38"/>
    <w:multiLevelType w:val="hybridMultilevel"/>
    <w:tmpl w:val="319E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94991"/>
    <w:multiLevelType w:val="hybridMultilevel"/>
    <w:tmpl w:val="F2844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142CD9"/>
    <w:multiLevelType w:val="hybridMultilevel"/>
    <w:tmpl w:val="E7FA054A"/>
    <w:lvl w:ilvl="0" w:tplc="301ACA04">
      <w:start w:val="1"/>
      <w:numFmt w:val="upperLetter"/>
      <w:lvlText w:val="Model %1."/>
      <w:lvlJc w:val="left"/>
      <w:pPr>
        <w:ind w:left="720" w:hanging="360"/>
      </w:pPr>
      <w:rPr>
        <w:rFonts w:hint="default"/>
        <w:b w:val="0"/>
        <w:bCs w:val="0"/>
        <w:i w:val="0"/>
        <w:iCs w:val="0"/>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9F6083"/>
    <w:multiLevelType w:val="hybridMultilevel"/>
    <w:tmpl w:val="A3800E78"/>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A57EE6"/>
    <w:multiLevelType w:val="hybridMultilevel"/>
    <w:tmpl w:val="35EE3654"/>
    <w:lvl w:ilvl="0" w:tplc="27148430">
      <w:start w:val="1"/>
      <w:numFmt w:val="upperLetter"/>
      <w:lvlText w:val="Model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9A313F"/>
    <w:multiLevelType w:val="multilevel"/>
    <w:tmpl w:val="71FAE358"/>
    <w:lvl w:ilvl="0">
      <w:start w:val="1"/>
      <w:numFmt w:val="upperLetter"/>
      <w:lvlText w:val="Model %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45366E9C"/>
    <w:multiLevelType w:val="multilevel"/>
    <w:tmpl w:val="86B68DA2"/>
    <w:lvl w:ilvl="0">
      <w:start w:val="1"/>
      <w:numFmt w:val="upperLetter"/>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4C906481"/>
    <w:multiLevelType w:val="multilevel"/>
    <w:tmpl w:val="35EE3654"/>
    <w:lvl w:ilvl="0">
      <w:start w:val="1"/>
      <w:numFmt w:val="upperLetter"/>
      <w:lvlText w:val="Mode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52BD56C1"/>
    <w:multiLevelType w:val="hybridMultilevel"/>
    <w:tmpl w:val="C7BCF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76080E"/>
    <w:multiLevelType w:val="hybridMultilevel"/>
    <w:tmpl w:val="E1D8B7C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AB0445"/>
    <w:multiLevelType w:val="hybridMultilevel"/>
    <w:tmpl w:val="DD7C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981FAC"/>
    <w:multiLevelType w:val="hybridMultilevel"/>
    <w:tmpl w:val="E07E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A04870"/>
    <w:multiLevelType w:val="hybridMultilevel"/>
    <w:tmpl w:val="5CD2649A"/>
    <w:lvl w:ilvl="0" w:tplc="F7B47016">
      <w:start w:val="1"/>
      <w:numFmt w:val="decimal"/>
      <w:pStyle w:val="SLAheader2"/>
      <w:lvlText w:val="%1."/>
      <w:lvlJc w:val="left"/>
      <w:pPr>
        <w:ind w:left="720" w:hanging="360"/>
      </w:pPr>
      <w:rPr>
        <w:rFonts w:ascii="Arial Bold" w:hAnsi="Arial Bold" w:hint="default"/>
        <w:b/>
        <w:i w:val="0"/>
        <w:spacing w:val="0"/>
        <w:w w:val="100"/>
        <w:position w:val="0"/>
        <w:sz w:val="18"/>
      </w:rPr>
    </w:lvl>
    <w:lvl w:ilvl="1" w:tplc="5472E99C">
      <w:start w:val="1"/>
      <w:numFmt w:val="decimal"/>
      <w:lvlText w:val="%2."/>
      <w:lvlJc w:val="left"/>
      <w:pPr>
        <w:ind w:left="1440" w:hanging="360"/>
      </w:pPr>
      <w:rPr>
        <w:rFonts w:asciiTheme="minorHAnsi" w:hAnsiTheme="minorHAnsi" w:hint="default"/>
        <w:b w:val="0"/>
        <w:i w:val="0"/>
        <w:spacing w:val="0"/>
        <w:w w:val="100"/>
        <w:position w:val="0"/>
        <w:sz w:val="24"/>
        <w:szCs w:val="24"/>
      </w:rPr>
    </w:lvl>
    <w:lvl w:ilvl="2" w:tplc="8FD44F1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CC53B5"/>
    <w:multiLevelType w:val="hybridMultilevel"/>
    <w:tmpl w:val="FC54E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805A8F"/>
    <w:multiLevelType w:val="hybridMultilevel"/>
    <w:tmpl w:val="BD563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9B3B6F"/>
    <w:multiLevelType w:val="hybridMultilevel"/>
    <w:tmpl w:val="850ED40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6"/>
  </w:num>
  <w:num w:numId="4">
    <w:abstractNumId w:val="0"/>
  </w:num>
  <w:num w:numId="5">
    <w:abstractNumId w:val="5"/>
  </w:num>
  <w:num w:numId="6">
    <w:abstractNumId w:val="7"/>
  </w:num>
  <w:num w:numId="7">
    <w:abstractNumId w:val="12"/>
  </w:num>
  <w:num w:numId="8">
    <w:abstractNumId w:val="4"/>
  </w:num>
  <w:num w:numId="9">
    <w:abstractNumId w:val="15"/>
  </w:num>
  <w:num w:numId="10">
    <w:abstractNumId w:val="3"/>
  </w:num>
  <w:num w:numId="11">
    <w:abstractNumId w:val="6"/>
  </w:num>
  <w:num w:numId="12">
    <w:abstractNumId w:val="2"/>
  </w:num>
  <w:num w:numId="13">
    <w:abstractNumId w:val="19"/>
  </w:num>
  <w:num w:numId="14">
    <w:abstractNumId w:val="14"/>
  </w:num>
  <w:num w:numId="15">
    <w:abstractNumId w:val="10"/>
  </w:num>
  <w:num w:numId="16">
    <w:abstractNumId w:val="18"/>
  </w:num>
  <w:num w:numId="17">
    <w:abstractNumId w:val="8"/>
  </w:num>
  <w:num w:numId="18">
    <w:abstractNumId w:val="13"/>
  </w:num>
  <w:num w:numId="19">
    <w:abstractNumId w:val="11"/>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33F"/>
    <w:rsid w:val="00032F19"/>
    <w:rsid w:val="00033722"/>
    <w:rsid w:val="00045205"/>
    <w:rsid w:val="00070841"/>
    <w:rsid w:val="000B43CE"/>
    <w:rsid w:val="000D1A3F"/>
    <w:rsid w:val="000D2C61"/>
    <w:rsid w:val="000D3E34"/>
    <w:rsid w:val="000E70C6"/>
    <w:rsid w:val="000F602C"/>
    <w:rsid w:val="001309B1"/>
    <w:rsid w:val="0014692C"/>
    <w:rsid w:val="00160373"/>
    <w:rsid w:val="001965EF"/>
    <w:rsid w:val="001A6499"/>
    <w:rsid w:val="001B0BA3"/>
    <w:rsid w:val="001B495E"/>
    <w:rsid w:val="001C1422"/>
    <w:rsid w:val="001D25B1"/>
    <w:rsid w:val="001E2824"/>
    <w:rsid w:val="001F712D"/>
    <w:rsid w:val="001F75AF"/>
    <w:rsid w:val="0020101C"/>
    <w:rsid w:val="00207A45"/>
    <w:rsid w:val="00226159"/>
    <w:rsid w:val="0023524C"/>
    <w:rsid w:val="0026475C"/>
    <w:rsid w:val="00266D81"/>
    <w:rsid w:val="00276175"/>
    <w:rsid w:val="00280855"/>
    <w:rsid w:val="002812BF"/>
    <w:rsid w:val="002A123E"/>
    <w:rsid w:val="002A5481"/>
    <w:rsid w:val="002B71D8"/>
    <w:rsid w:val="002D3F6C"/>
    <w:rsid w:val="003270D0"/>
    <w:rsid w:val="00327874"/>
    <w:rsid w:val="00374142"/>
    <w:rsid w:val="00384FC9"/>
    <w:rsid w:val="00400877"/>
    <w:rsid w:val="00404B57"/>
    <w:rsid w:val="00410FF0"/>
    <w:rsid w:val="00423455"/>
    <w:rsid w:val="004302A5"/>
    <w:rsid w:val="00456E92"/>
    <w:rsid w:val="00464F02"/>
    <w:rsid w:val="00474F92"/>
    <w:rsid w:val="00487F3C"/>
    <w:rsid w:val="00496A24"/>
    <w:rsid w:val="00496B0D"/>
    <w:rsid w:val="004A63D0"/>
    <w:rsid w:val="004C39D8"/>
    <w:rsid w:val="004C42BC"/>
    <w:rsid w:val="004E6C5F"/>
    <w:rsid w:val="004F6B01"/>
    <w:rsid w:val="00521084"/>
    <w:rsid w:val="00547701"/>
    <w:rsid w:val="00556A28"/>
    <w:rsid w:val="00573081"/>
    <w:rsid w:val="005858F1"/>
    <w:rsid w:val="005921AA"/>
    <w:rsid w:val="005A70AC"/>
    <w:rsid w:val="005B3AC2"/>
    <w:rsid w:val="005D05EE"/>
    <w:rsid w:val="005D6EB0"/>
    <w:rsid w:val="005F01A5"/>
    <w:rsid w:val="0064074D"/>
    <w:rsid w:val="0064536F"/>
    <w:rsid w:val="006474D5"/>
    <w:rsid w:val="00653D1C"/>
    <w:rsid w:val="00656685"/>
    <w:rsid w:val="00670AD7"/>
    <w:rsid w:val="006732D7"/>
    <w:rsid w:val="00674ECF"/>
    <w:rsid w:val="006815B9"/>
    <w:rsid w:val="00694264"/>
    <w:rsid w:val="006B5C8B"/>
    <w:rsid w:val="006D046F"/>
    <w:rsid w:val="006E07CB"/>
    <w:rsid w:val="006F1CD8"/>
    <w:rsid w:val="006F38EC"/>
    <w:rsid w:val="007041BE"/>
    <w:rsid w:val="00724677"/>
    <w:rsid w:val="00732A7A"/>
    <w:rsid w:val="007671EC"/>
    <w:rsid w:val="00792B1A"/>
    <w:rsid w:val="007E2C68"/>
    <w:rsid w:val="00821806"/>
    <w:rsid w:val="00826322"/>
    <w:rsid w:val="00841C6B"/>
    <w:rsid w:val="00845E96"/>
    <w:rsid w:val="00877546"/>
    <w:rsid w:val="00884598"/>
    <w:rsid w:val="00886B0A"/>
    <w:rsid w:val="008D65D5"/>
    <w:rsid w:val="008F6500"/>
    <w:rsid w:val="0091106E"/>
    <w:rsid w:val="009148EC"/>
    <w:rsid w:val="00914C13"/>
    <w:rsid w:val="00914D94"/>
    <w:rsid w:val="00935D29"/>
    <w:rsid w:val="009556E7"/>
    <w:rsid w:val="00956748"/>
    <w:rsid w:val="00975F83"/>
    <w:rsid w:val="00986CDC"/>
    <w:rsid w:val="009D2466"/>
    <w:rsid w:val="009D6FEC"/>
    <w:rsid w:val="009F3A07"/>
    <w:rsid w:val="009F797E"/>
    <w:rsid w:val="00A1225E"/>
    <w:rsid w:val="00A20547"/>
    <w:rsid w:val="00AA477C"/>
    <w:rsid w:val="00AD42B6"/>
    <w:rsid w:val="00AE43DA"/>
    <w:rsid w:val="00AE66F7"/>
    <w:rsid w:val="00B14CF6"/>
    <w:rsid w:val="00B2179E"/>
    <w:rsid w:val="00B40EED"/>
    <w:rsid w:val="00B937FA"/>
    <w:rsid w:val="00B9521E"/>
    <w:rsid w:val="00BB645D"/>
    <w:rsid w:val="00BE0C63"/>
    <w:rsid w:val="00BE338E"/>
    <w:rsid w:val="00BE6C4B"/>
    <w:rsid w:val="00BF1717"/>
    <w:rsid w:val="00C0132E"/>
    <w:rsid w:val="00C11AE4"/>
    <w:rsid w:val="00C17639"/>
    <w:rsid w:val="00C21CDD"/>
    <w:rsid w:val="00C624D6"/>
    <w:rsid w:val="00C63CBB"/>
    <w:rsid w:val="00C727A4"/>
    <w:rsid w:val="00C74596"/>
    <w:rsid w:val="00C93025"/>
    <w:rsid w:val="00CA0670"/>
    <w:rsid w:val="00CB18D1"/>
    <w:rsid w:val="00CD733F"/>
    <w:rsid w:val="00CD77D6"/>
    <w:rsid w:val="00CF14F3"/>
    <w:rsid w:val="00D01C03"/>
    <w:rsid w:val="00D0417E"/>
    <w:rsid w:val="00D13C6D"/>
    <w:rsid w:val="00D64A3D"/>
    <w:rsid w:val="00D76ADA"/>
    <w:rsid w:val="00D816A4"/>
    <w:rsid w:val="00D9066E"/>
    <w:rsid w:val="00D9490D"/>
    <w:rsid w:val="00DA2A70"/>
    <w:rsid w:val="00DC3ADA"/>
    <w:rsid w:val="00DC4AFB"/>
    <w:rsid w:val="00DF224A"/>
    <w:rsid w:val="00DF2267"/>
    <w:rsid w:val="00E1366A"/>
    <w:rsid w:val="00E17B6E"/>
    <w:rsid w:val="00E62F85"/>
    <w:rsid w:val="00E71974"/>
    <w:rsid w:val="00EC0235"/>
    <w:rsid w:val="00F01BBD"/>
    <w:rsid w:val="00F03A91"/>
    <w:rsid w:val="00F166AD"/>
    <w:rsid w:val="00F24079"/>
    <w:rsid w:val="00F33B9E"/>
    <w:rsid w:val="00F45708"/>
    <w:rsid w:val="00F52F14"/>
    <w:rsid w:val="00F63229"/>
    <w:rsid w:val="00F84BC6"/>
    <w:rsid w:val="00F9714D"/>
    <w:rsid w:val="00FD0E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1D2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BC6"/>
    <w:rPr>
      <w:rFonts w:asciiTheme="majorHAnsi" w:hAnsiTheme="majorHAnsi"/>
      <w:sz w:val="24"/>
      <w:szCs w:val="24"/>
    </w:rPr>
  </w:style>
  <w:style w:type="paragraph" w:styleId="Heading1">
    <w:name w:val="heading 1"/>
    <w:basedOn w:val="Normal"/>
    <w:next w:val="Normal"/>
    <w:link w:val="Heading1Char"/>
    <w:autoRedefine/>
    <w:uiPriority w:val="9"/>
    <w:qFormat/>
    <w:rsid w:val="008F6500"/>
    <w:pPr>
      <w:keepNext/>
      <w:spacing w:before="240" w:after="60"/>
      <w:outlineLvl w:val="0"/>
    </w:pPr>
    <w:rPr>
      <w:b/>
      <w:kern w:val="32"/>
      <w:sz w:val="44"/>
      <w:szCs w:val="52"/>
    </w:rPr>
  </w:style>
  <w:style w:type="paragraph" w:styleId="Heading2">
    <w:name w:val="heading 2"/>
    <w:basedOn w:val="Normal"/>
    <w:next w:val="Normal"/>
    <w:link w:val="Heading2Char"/>
    <w:autoRedefine/>
    <w:uiPriority w:val="9"/>
    <w:unhideWhenUsed/>
    <w:qFormat/>
    <w:rsid w:val="00F63229"/>
    <w:pPr>
      <w:keepNext/>
      <w:keepLines/>
      <w:pBdr>
        <w:bottom w:val="single" w:sz="4" w:space="1" w:color="auto"/>
      </w:pBdr>
      <w:spacing w:before="200" w:line="276" w:lineRule="auto"/>
      <w:outlineLvl w:val="1"/>
    </w:pPr>
    <w:rPr>
      <w:rFonts w:asciiTheme="minorHAnsi" w:eastAsiaTheme="majorEastAsia" w:hAnsiTheme="minorHAnsi" w:cstheme="majorBidi"/>
      <w:b/>
      <w:bCs/>
      <w:sz w:val="32"/>
      <w:szCs w:val="26"/>
    </w:rPr>
  </w:style>
  <w:style w:type="paragraph" w:styleId="Heading3">
    <w:name w:val="heading 3"/>
    <w:basedOn w:val="Normal"/>
    <w:next w:val="Normal"/>
    <w:autoRedefine/>
    <w:qFormat/>
    <w:rsid w:val="0023524C"/>
    <w:pPr>
      <w:keepNext/>
      <w:spacing w:before="240" w:after="60"/>
      <w:outlineLvl w:val="2"/>
    </w:pPr>
    <w:rPr>
      <w:b/>
      <w:bCs/>
      <w:caps/>
      <w:sz w:val="28"/>
      <w:szCs w:val="28"/>
    </w:rPr>
  </w:style>
  <w:style w:type="paragraph" w:styleId="Heading4">
    <w:name w:val="heading 4"/>
    <w:basedOn w:val="Normal"/>
    <w:next w:val="Normal"/>
    <w:link w:val="Heading4Char"/>
    <w:uiPriority w:val="9"/>
    <w:unhideWhenUsed/>
    <w:qFormat/>
    <w:rsid w:val="0023524C"/>
    <w:pPr>
      <w:keepNext/>
      <w:keepLines/>
      <w:spacing w:before="200"/>
      <w:outlineLvl w:val="3"/>
    </w:pPr>
    <w:rPr>
      <w:rFonts w:eastAsiaTheme="majorEastAsia" w:cstheme="majorBidi"/>
      <w:b/>
      <w:bCs/>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1A95"/>
    <w:rPr>
      <w:rFonts w:ascii="Lucida Grande" w:hAnsi="Lucida Grande"/>
      <w:sz w:val="18"/>
      <w:szCs w:val="18"/>
    </w:rPr>
  </w:style>
  <w:style w:type="character" w:customStyle="1" w:styleId="Heading4Char">
    <w:name w:val="Heading 4 Char"/>
    <w:basedOn w:val="DefaultParagraphFont"/>
    <w:link w:val="Heading4"/>
    <w:uiPriority w:val="9"/>
    <w:rsid w:val="0023524C"/>
    <w:rPr>
      <w:rFonts w:asciiTheme="majorHAnsi" w:eastAsiaTheme="majorEastAsia" w:hAnsiTheme="majorHAnsi" w:cstheme="majorBidi"/>
      <w:b/>
      <w:bCs/>
      <w:iCs/>
    </w:rPr>
  </w:style>
  <w:style w:type="paragraph" w:customStyle="1" w:styleId="Example">
    <w:name w:val="Example"/>
    <w:basedOn w:val="Normal"/>
    <w:next w:val="Normal"/>
    <w:qFormat/>
    <w:rsid w:val="001A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New"/>
      <w:color w:val="000000"/>
      <w:lang w:eastAsia="en-US"/>
    </w:rPr>
  </w:style>
  <w:style w:type="character" w:customStyle="1" w:styleId="Heading1Char">
    <w:name w:val="Heading 1 Char"/>
    <w:basedOn w:val="DefaultParagraphFont"/>
    <w:link w:val="Heading1"/>
    <w:uiPriority w:val="9"/>
    <w:rsid w:val="008F6500"/>
    <w:rPr>
      <w:rFonts w:asciiTheme="majorHAnsi" w:hAnsiTheme="majorHAnsi"/>
      <w:b/>
      <w:kern w:val="32"/>
      <w:sz w:val="44"/>
      <w:szCs w:val="52"/>
    </w:rPr>
  </w:style>
  <w:style w:type="paragraph" w:styleId="ListParagraph">
    <w:name w:val="List Paragraph"/>
    <w:basedOn w:val="Normal"/>
    <w:uiPriority w:val="34"/>
    <w:qFormat/>
    <w:rsid w:val="00F166AD"/>
    <w:pPr>
      <w:numPr>
        <w:numId w:val="2"/>
      </w:numPr>
      <w:spacing w:after="200" w:line="276" w:lineRule="auto"/>
      <w:contextualSpacing/>
    </w:pPr>
    <w:rPr>
      <w:szCs w:val="22"/>
      <w:lang w:eastAsia="en-US"/>
    </w:rPr>
  </w:style>
  <w:style w:type="paragraph" w:customStyle="1" w:styleId="SLAheader2">
    <w:name w:val="SLA header 2"/>
    <w:basedOn w:val="ListParagraph"/>
    <w:autoRedefine/>
    <w:qFormat/>
    <w:rsid w:val="00732A7A"/>
    <w:pPr>
      <w:widowControl w:val="0"/>
      <w:numPr>
        <w:numId w:val="3"/>
      </w:numPr>
      <w:autoSpaceDE w:val="0"/>
      <w:autoSpaceDN w:val="0"/>
      <w:adjustRightInd w:val="0"/>
      <w:spacing w:before="120" w:after="120" w:line="240" w:lineRule="auto"/>
      <w:ind w:right="7085"/>
      <w:contextualSpacing w:val="0"/>
    </w:pPr>
    <w:rPr>
      <w:rFonts w:asciiTheme="minorHAnsi" w:eastAsia="Times New Roman" w:hAnsiTheme="minorHAnsi" w:cs="Arial"/>
      <w:b/>
      <w:bCs/>
      <w:color w:val="000000"/>
      <w:spacing w:val="5"/>
      <w:szCs w:val="24"/>
      <w:u w:val="single"/>
    </w:rPr>
  </w:style>
  <w:style w:type="character" w:customStyle="1" w:styleId="Heading2Char">
    <w:name w:val="Heading 2 Char"/>
    <w:basedOn w:val="DefaultParagraphFont"/>
    <w:link w:val="Heading2"/>
    <w:uiPriority w:val="9"/>
    <w:rsid w:val="00F63229"/>
    <w:rPr>
      <w:rFonts w:eastAsiaTheme="majorEastAsia" w:cstheme="majorBidi"/>
      <w:b/>
      <w:bCs/>
      <w:sz w:val="32"/>
      <w:szCs w:val="26"/>
    </w:rPr>
  </w:style>
  <w:style w:type="paragraph" w:customStyle="1" w:styleId="Normal10ptCG">
    <w:name w:val="Normal 10pt CG"/>
    <w:basedOn w:val="Normal"/>
    <w:autoRedefine/>
    <w:qFormat/>
    <w:rsid w:val="00384FC9"/>
    <w:rPr>
      <w:rFonts w:ascii="Century Gothic" w:hAnsi="Century Gothic" w:cs="Arial"/>
      <w:sz w:val="20"/>
    </w:rPr>
  </w:style>
  <w:style w:type="paragraph" w:customStyle="1" w:styleId="UCBullets">
    <w:name w:val="UC_Bullets"/>
    <w:basedOn w:val="Normal"/>
    <w:autoRedefine/>
    <w:qFormat/>
    <w:rsid w:val="00D9066E"/>
    <w:pPr>
      <w:contextualSpacing/>
    </w:pPr>
    <w:rPr>
      <w:rFonts w:ascii="Arial" w:eastAsia="Cambria" w:hAnsi="Arial" w:cs="Times New Roman"/>
      <w:color w:val="262626"/>
      <w:sz w:val="20"/>
      <w:lang w:eastAsia="en-US"/>
    </w:rPr>
  </w:style>
  <w:style w:type="character" w:styleId="Hyperlink">
    <w:name w:val="Hyperlink"/>
    <w:basedOn w:val="DefaultParagraphFont"/>
    <w:uiPriority w:val="99"/>
    <w:unhideWhenUsed/>
    <w:rsid w:val="00956748"/>
    <w:rPr>
      <w:color w:val="0000FF" w:themeColor="hyperlink"/>
      <w:u w:val="single"/>
    </w:rPr>
  </w:style>
  <w:style w:type="paragraph" w:styleId="Footer">
    <w:name w:val="footer"/>
    <w:basedOn w:val="Normal"/>
    <w:link w:val="FooterChar"/>
    <w:uiPriority w:val="99"/>
    <w:unhideWhenUsed/>
    <w:rsid w:val="00E62F85"/>
    <w:pPr>
      <w:tabs>
        <w:tab w:val="center" w:pos="4320"/>
        <w:tab w:val="right" w:pos="8640"/>
      </w:tabs>
    </w:pPr>
  </w:style>
  <w:style w:type="character" w:customStyle="1" w:styleId="FooterChar">
    <w:name w:val="Footer Char"/>
    <w:basedOn w:val="DefaultParagraphFont"/>
    <w:link w:val="Footer"/>
    <w:uiPriority w:val="99"/>
    <w:rsid w:val="00E62F85"/>
    <w:rPr>
      <w:rFonts w:asciiTheme="majorHAnsi" w:hAnsiTheme="majorHAnsi"/>
      <w:sz w:val="24"/>
      <w:szCs w:val="24"/>
    </w:rPr>
  </w:style>
  <w:style w:type="character" w:styleId="PageNumber">
    <w:name w:val="page number"/>
    <w:basedOn w:val="DefaultParagraphFont"/>
    <w:uiPriority w:val="99"/>
    <w:semiHidden/>
    <w:unhideWhenUsed/>
    <w:rsid w:val="00E62F85"/>
  </w:style>
  <w:style w:type="character" w:styleId="CommentReference">
    <w:name w:val="annotation reference"/>
    <w:basedOn w:val="DefaultParagraphFont"/>
    <w:uiPriority w:val="99"/>
    <w:semiHidden/>
    <w:unhideWhenUsed/>
    <w:rsid w:val="00A1225E"/>
    <w:rPr>
      <w:sz w:val="18"/>
      <w:szCs w:val="18"/>
    </w:rPr>
  </w:style>
  <w:style w:type="paragraph" w:styleId="CommentText">
    <w:name w:val="annotation text"/>
    <w:basedOn w:val="Normal"/>
    <w:link w:val="CommentTextChar"/>
    <w:uiPriority w:val="99"/>
    <w:semiHidden/>
    <w:unhideWhenUsed/>
    <w:rsid w:val="00A1225E"/>
  </w:style>
  <w:style w:type="character" w:customStyle="1" w:styleId="CommentTextChar">
    <w:name w:val="Comment Text Char"/>
    <w:basedOn w:val="DefaultParagraphFont"/>
    <w:link w:val="CommentText"/>
    <w:uiPriority w:val="99"/>
    <w:semiHidden/>
    <w:rsid w:val="00A1225E"/>
    <w:rPr>
      <w:rFonts w:asciiTheme="majorHAnsi" w:hAnsiTheme="majorHAnsi"/>
      <w:sz w:val="24"/>
      <w:szCs w:val="24"/>
    </w:rPr>
  </w:style>
  <w:style w:type="paragraph" w:styleId="CommentSubject">
    <w:name w:val="annotation subject"/>
    <w:basedOn w:val="CommentText"/>
    <w:next w:val="CommentText"/>
    <w:link w:val="CommentSubjectChar"/>
    <w:uiPriority w:val="99"/>
    <w:semiHidden/>
    <w:unhideWhenUsed/>
    <w:rsid w:val="00A1225E"/>
    <w:rPr>
      <w:b/>
      <w:bCs/>
      <w:sz w:val="20"/>
      <w:szCs w:val="20"/>
    </w:rPr>
  </w:style>
  <w:style w:type="character" w:customStyle="1" w:styleId="CommentSubjectChar">
    <w:name w:val="Comment Subject Char"/>
    <w:basedOn w:val="CommentTextChar"/>
    <w:link w:val="CommentSubject"/>
    <w:uiPriority w:val="99"/>
    <w:semiHidden/>
    <w:rsid w:val="00A1225E"/>
    <w:rPr>
      <w:rFonts w:asciiTheme="majorHAnsi" w:hAnsiTheme="majorHAnsi"/>
      <w:b/>
      <w:bCs/>
      <w:sz w:val="24"/>
      <w:szCs w:val="24"/>
    </w:rPr>
  </w:style>
  <w:style w:type="paragraph" w:styleId="Revision">
    <w:name w:val="Revision"/>
    <w:hidden/>
    <w:uiPriority w:val="99"/>
    <w:semiHidden/>
    <w:rsid w:val="00A1225E"/>
    <w:rPr>
      <w:rFonts w:asciiTheme="majorHAnsi" w:hAnsiTheme="majorHAnsi"/>
      <w:sz w:val="24"/>
      <w:szCs w:val="24"/>
    </w:rPr>
  </w:style>
  <w:style w:type="table" w:styleId="TableGrid">
    <w:name w:val="Table Grid"/>
    <w:basedOn w:val="TableNormal"/>
    <w:uiPriority w:val="59"/>
    <w:rsid w:val="00BE0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BC6"/>
    <w:rPr>
      <w:rFonts w:asciiTheme="majorHAnsi" w:hAnsiTheme="majorHAnsi"/>
      <w:sz w:val="24"/>
      <w:szCs w:val="24"/>
    </w:rPr>
  </w:style>
  <w:style w:type="paragraph" w:styleId="Heading1">
    <w:name w:val="heading 1"/>
    <w:basedOn w:val="Normal"/>
    <w:next w:val="Normal"/>
    <w:link w:val="Heading1Char"/>
    <w:autoRedefine/>
    <w:uiPriority w:val="9"/>
    <w:qFormat/>
    <w:rsid w:val="008F6500"/>
    <w:pPr>
      <w:keepNext/>
      <w:spacing w:before="240" w:after="60"/>
      <w:outlineLvl w:val="0"/>
    </w:pPr>
    <w:rPr>
      <w:b/>
      <w:kern w:val="32"/>
      <w:sz w:val="44"/>
      <w:szCs w:val="52"/>
    </w:rPr>
  </w:style>
  <w:style w:type="paragraph" w:styleId="Heading2">
    <w:name w:val="heading 2"/>
    <w:basedOn w:val="Normal"/>
    <w:next w:val="Normal"/>
    <w:link w:val="Heading2Char"/>
    <w:autoRedefine/>
    <w:uiPriority w:val="9"/>
    <w:unhideWhenUsed/>
    <w:qFormat/>
    <w:rsid w:val="00F63229"/>
    <w:pPr>
      <w:keepNext/>
      <w:keepLines/>
      <w:pBdr>
        <w:bottom w:val="single" w:sz="4" w:space="1" w:color="auto"/>
      </w:pBdr>
      <w:spacing w:before="200" w:line="276" w:lineRule="auto"/>
      <w:outlineLvl w:val="1"/>
    </w:pPr>
    <w:rPr>
      <w:rFonts w:asciiTheme="minorHAnsi" w:eastAsiaTheme="majorEastAsia" w:hAnsiTheme="minorHAnsi" w:cstheme="majorBidi"/>
      <w:b/>
      <w:bCs/>
      <w:sz w:val="32"/>
      <w:szCs w:val="26"/>
    </w:rPr>
  </w:style>
  <w:style w:type="paragraph" w:styleId="Heading3">
    <w:name w:val="heading 3"/>
    <w:basedOn w:val="Normal"/>
    <w:next w:val="Normal"/>
    <w:autoRedefine/>
    <w:qFormat/>
    <w:rsid w:val="0023524C"/>
    <w:pPr>
      <w:keepNext/>
      <w:spacing w:before="240" w:after="60"/>
      <w:outlineLvl w:val="2"/>
    </w:pPr>
    <w:rPr>
      <w:b/>
      <w:bCs/>
      <w:caps/>
      <w:sz w:val="28"/>
      <w:szCs w:val="28"/>
    </w:rPr>
  </w:style>
  <w:style w:type="paragraph" w:styleId="Heading4">
    <w:name w:val="heading 4"/>
    <w:basedOn w:val="Normal"/>
    <w:next w:val="Normal"/>
    <w:link w:val="Heading4Char"/>
    <w:uiPriority w:val="9"/>
    <w:unhideWhenUsed/>
    <w:qFormat/>
    <w:rsid w:val="0023524C"/>
    <w:pPr>
      <w:keepNext/>
      <w:keepLines/>
      <w:spacing w:before="200"/>
      <w:outlineLvl w:val="3"/>
    </w:pPr>
    <w:rPr>
      <w:rFonts w:eastAsiaTheme="majorEastAsia" w:cstheme="majorBidi"/>
      <w:b/>
      <w:bCs/>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1A95"/>
    <w:rPr>
      <w:rFonts w:ascii="Lucida Grande" w:hAnsi="Lucida Grande"/>
      <w:sz w:val="18"/>
      <w:szCs w:val="18"/>
    </w:rPr>
  </w:style>
  <w:style w:type="character" w:customStyle="1" w:styleId="Heading4Char">
    <w:name w:val="Heading 4 Char"/>
    <w:basedOn w:val="DefaultParagraphFont"/>
    <w:link w:val="Heading4"/>
    <w:uiPriority w:val="9"/>
    <w:rsid w:val="0023524C"/>
    <w:rPr>
      <w:rFonts w:asciiTheme="majorHAnsi" w:eastAsiaTheme="majorEastAsia" w:hAnsiTheme="majorHAnsi" w:cstheme="majorBidi"/>
      <w:b/>
      <w:bCs/>
      <w:iCs/>
    </w:rPr>
  </w:style>
  <w:style w:type="paragraph" w:customStyle="1" w:styleId="Example">
    <w:name w:val="Example"/>
    <w:basedOn w:val="Normal"/>
    <w:next w:val="Normal"/>
    <w:qFormat/>
    <w:rsid w:val="001A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New"/>
      <w:color w:val="000000"/>
      <w:lang w:eastAsia="en-US"/>
    </w:rPr>
  </w:style>
  <w:style w:type="character" w:customStyle="1" w:styleId="Heading1Char">
    <w:name w:val="Heading 1 Char"/>
    <w:basedOn w:val="DefaultParagraphFont"/>
    <w:link w:val="Heading1"/>
    <w:uiPriority w:val="9"/>
    <w:rsid w:val="008F6500"/>
    <w:rPr>
      <w:rFonts w:asciiTheme="majorHAnsi" w:hAnsiTheme="majorHAnsi"/>
      <w:b/>
      <w:kern w:val="32"/>
      <w:sz w:val="44"/>
      <w:szCs w:val="52"/>
    </w:rPr>
  </w:style>
  <w:style w:type="paragraph" w:styleId="ListParagraph">
    <w:name w:val="List Paragraph"/>
    <w:basedOn w:val="Normal"/>
    <w:uiPriority w:val="34"/>
    <w:qFormat/>
    <w:rsid w:val="00F166AD"/>
    <w:pPr>
      <w:numPr>
        <w:numId w:val="2"/>
      </w:numPr>
      <w:spacing w:after="200" w:line="276" w:lineRule="auto"/>
      <w:contextualSpacing/>
    </w:pPr>
    <w:rPr>
      <w:szCs w:val="22"/>
      <w:lang w:eastAsia="en-US"/>
    </w:rPr>
  </w:style>
  <w:style w:type="paragraph" w:customStyle="1" w:styleId="SLAheader2">
    <w:name w:val="SLA header 2"/>
    <w:basedOn w:val="ListParagraph"/>
    <w:autoRedefine/>
    <w:qFormat/>
    <w:rsid w:val="00732A7A"/>
    <w:pPr>
      <w:widowControl w:val="0"/>
      <w:numPr>
        <w:numId w:val="3"/>
      </w:numPr>
      <w:autoSpaceDE w:val="0"/>
      <w:autoSpaceDN w:val="0"/>
      <w:adjustRightInd w:val="0"/>
      <w:spacing w:before="120" w:after="120" w:line="240" w:lineRule="auto"/>
      <w:ind w:right="7085"/>
      <w:contextualSpacing w:val="0"/>
    </w:pPr>
    <w:rPr>
      <w:rFonts w:asciiTheme="minorHAnsi" w:eastAsia="Times New Roman" w:hAnsiTheme="minorHAnsi" w:cs="Arial"/>
      <w:b/>
      <w:bCs/>
      <w:color w:val="000000"/>
      <w:spacing w:val="5"/>
      <w:szCs w:val="24"/>
      <w:u w:val="single"/>
    </w:rPr>
  </w:style>
  <w:style w:type="character" w:customStyle="1" w:styleId="Heading2Char">
    <w:name w:val="Heading 2 Char"/>
    <w:basedOn w:val="DefaultParagraphFont"/>
    <w:link w:val="Heading2"/>
    <w:uiPriority w:val="9"/>
    <w:rsid w:val="00F63229"/>
    <w:rPr>
      <w:rFonts w:eastAsiaTheme="majorEastAsia" w:cstheme="majorBidi"/>
      <w:b/>
      <w:bCs/>
      <w:sz w:val="32"/>
      <w:szCs w:val="26"/>
    </w:rPr>
  </w:style>
  <w:style w:type="paragraph" w:customStyle="1" w:styleId="Normal10ptCG">
    <w:name w:val="Normal 10pt CG"/>
    <w:basedOn w:val="Normal"/>
    <w:autoRedefine/>
    <w:qFormat/>
    <w:rsid w:val="00384FC9"/>
    <w:rPr>
      <w:rFonts w:ascii="Century Gothic" w:hAnsi="Century Gothic" w:cs="Arial"/>
      <w:sz w:val="20"/>
    </w:rPr>
  </w:style>
  <w:style w:type="paragraph" w:customStyle="1" w:styleId="UCBullets">
    <w:name w:val="UC_Bullets"/>
    <w:basedOn w:val="Normal"/>
    <w:autoRedefine/>
    <w:qFormat/>
    <w:rsid w:val="00D9066E"/>
    <w:pPr>
      <w:contextualSpacing/>
    </w:pPr>
    <w:rPr>
      <w:rFonts w:ascii="Arial" w:eastAsia="Cambria" w:hAnsi="Arial" w:cs="Times New Roman"/>
      <w:color w:val="262626"/>
      <w:sz w:val="20"/>
      <w:lang w:eastAsia="en-US"/>
    </w:rPr>
  </w:style>
  <w:style w:type="character" w:styleId="Hyperlink">
    <w:name w:val="Hyperlink"/>
    <w:basedOn w:val="DefaultParagraphFont"/>
    <w:uiPriority w:val="99"/>
    <w:unhideWhenUsed/>
    <w:rsid w:val="00956748"/>
    <w:rPr>
      <w:color w:val="0000FF" w:themeColor="hyperlink"/>
      <w:u w:val="single"/>
    </w:rPr>
  </w:style>
  <w:style w:type="paragraph" w:styleId="Footer">
    <w:name w:val="footer"/>
    <w:basedOn w:val="Normal"/>
    <w:link w:val="FooterChar"/>
    <w:uiPriority w:val="99"/>
    <w:unhideWhenUsed/>
    <w:rsid w:val="00E62F85"/>
    <w:pPr>
      <w:tabs>
        <w:tab w:val="center" w:pos="4320"/>
        <w:tab w:val="right" w:pos="8640"/>
      </w:tabs>
    </w:pPr>
  </w:style>
  <w:style w:type="character" w:customStyle="1" w:styleId="FooterChar">
    <w:name w:val="Footer Char"/>
    <w:basedOn w:val="DefaultParagraphFont"/>
    <w:link w:val="Footer"/>
    <w:uiPriority w:val="99"/>
    <w:rsid w:val="00E62F85"/>
    <w:rPr>
      <w:rFonts w:asciiTheme="majorHAnsi" w:hAnsiTheme="majorHAnsi"/>
      <w:sz w:val="24"/>
      <w:szCs w:val="24"/>
    </w:rPr>
  </w:style>
  <w:style w:type="character" w:styleId="PageNumber">
    <w:name w:val="page number"/>
    <w:basedOn w:val="DefaultParagraphFont"/>
    <w:uiPriority w:val="99"/>
    <w:semiHidden/>
    <w:unhideWhenUsed/>
    <w:rsid w:val="00E62F85"/>
  </w:style>
  <w:style w:type="character" w:styleId="CommentReference">
    <w:name w:val="annotation reference"/>
    <w:basedOn w:val="DefaultParagraphFont"/>
    <w:uiPriority w:val="99"/>
    <w:semiHidden/>
    <w:unhideWhenUsed/>
    <w:rsid w:val="00A1225E"/>
    <w:rPr>
      <w:sz w:val="18"/>
      <w:szCs w:val="18"/>
    </w:rPr>
  </w:style>
  <w:style w:type="paragraph" w:styleId="CommentText">
    <w:name w:val="annotation text"/>
    <w:basedOn w:val="Normal"/>
    <w:link w:val="CommentTextChar"/>
    <w:uiPriority w:val="99"/>
    <w:semiHidden/>
    <w:unhideWhenUsed/>
    <w:rsid w:val="00A1225E"/>
  </w:style>
  <w:style w:type="character" w:customStyle="1" w:styleId="CommentTextChar">
    <w:name w:val="Comment Text Char"/>
    <w:basedOn w:val="DefaultParagraphFont"/>
    <w:link w:val="CommentText"/>
    <w:uiPriority w:val="99"/>
    <w:semiHidden/>
    <w:rsid w:val="00A1225E"/>
    <w:rPr>
      <w:rFonts w:asciiTheme="majorHAnsi" w:hAnsiTheme="majorHAnsi"/>
      <w:sz w:val="24"/>
      <w:szCs w:val="24"/>
    </w:rPr>
  </w:style>
  <w:style w:type="paragraph" w:styleId="CommentSubject">
    <w:name w:val="annotation subject"/>
    <w:basedOn w:val="CommentText"/>
    <w:next w:val="CommentText"/>
    <w:link w:val="CommentSubjectChar"/>
    <w:uiPriority w:val="99"/>
    <w:semiHidden/>
    <w:unhideWhenUsed/>
    <w:rsid w:val="00A1225E"/>
    <w:rPr>
      <w:b/>
      <w:bCs/>
      <w:sz w:val="20"/>
      <w:szCs w:val="20"/>
    </w:rPr>
  </w:style>
  <w:style w:type="character" w:customStyle="1" w:styleId="CommentSubjectChar">
    <w:name w:val="Comment Subject Char"/>
    <w:basedOn w:val="CommentTextChar"/>
    <w:link w:val="CommentSubject"/>
    <w:uiPriority w:val="99"/>
    <w:semiHidden/>
    <w:rsid w:val="00A1225E"/>
    <w:rPr>
      <w:rFonts w:asciiTheme="majorHAnsi" w:hAnsiTheme="majorHAnsi"/>
      <w:b/>
      <w:bCs/>
      <w:sz w:val="24"/>
      <w:szCs w:val="24"/>
    </w:rPr>
  </w:style>
  <w:style w:type="paragraph" w:styleId="Revision">
    <w:name w:val="Revision"/>
    <w:hidden/>
    <w:uiPriority w:val="99"/>
    <w:semiHidden/>
    <w:rsid w:val="00A1225E"/>
    <w:rPr>
      <w:rFonts w:asciiTheme="majorHAnsi" w:hAnsiTheme="majorHAnsi"/>
      <w:sz w:val="24"/>
      <w:szCs w:val="24"/>
    </w:rPr>
  </w:style>
  <w:style w:type="table" w:styleId="TableGrid">
    <w:name w:val="Table Grid"/>
    <w:basedOn w:val="TableNormal"/>
    <w:uiPriority w:val="59"/>
    <w:rsid w:val="00BE0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California Digital Library</Company>
  <LinksUpToDate>false</LinksUpToDate>
  <CharactersWithSpaces>10989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Zentall</dc:creator>
  <cp:keywords/>
  <dc:description/>
  <cp:lastModifiedBy>Lena Zentall</cp:lastModifiedBy>
  <cp:revision>6</cp:revision>
  <dcterms:created xsi:type="dcterms:W3CDTF">2015-08-28T20:59:00Z</dcterms:created>
  <dcterms:modified xsi:type="dcterms:W3CDTF">2015-08-28T21:09:00Z</dcterms:modified>
</cp:coreProperties>
</file>